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361" w:rsidRPr="00E15361" w:rsidRDefault="00E15361" w:rsidP="00E15361">
      <w:pPr>
        <w:spacing w:after="150" w:line="360" w:lineRule="auto"/>
        <w:ind w:left="150" w:right="150"/>
        <w:outlineLvl w:val="2"/>
        <w:rPr>
          <w:rFonts w:ascii="Tahoma" w:eastAsia="Times New Roman" w:hAnsi="Tahoma" w:cs="Tahoma"/>
          <w:color w:val="9D1F1F"/>
          <w:sz w:val="26"/>
          <w:szCs w:val="26"/>
          <w:lang w:val="en" w:eastAsia="en-IE" w:bidi="ne-NP"/>
        </w:rPr>
      </w:pPr>
      <w:r w:rsidRPr="00E15361">
        <w:rPr>
          <w:rFonts w:ascii="Tahoma" w:eastAsia="Times New Roman" w:hAnsi="Tahoma" w:cs="Tahoma"/>
          <w:color w:val="9D1F1F"/>
          <w:sz w:val="26"/>
          <w:szCs w:val="26"/>
          <w:lang w:val="en" w:eastAsia="en-IE" w:bidi="ne-NP"/>
        </w:rPr>
        <w:t>DFI views the Budget as the Government’s expression of its priorities for the coming year. In this regard, we are recommending that the Government:</w:t>
      </w:r>
    </w:p>
    <w:p w:rsidR="00E15361" w:rsidRPr="00E15361" w:rsidRDefault="00E15361" w:rsidP="00E15361">
      <w:pPr>
        <w:numPr>
          <w:ilvl w:val="0"/>
          <w:numId w:val="1"/>
        </w:numPr>
        <w:spacing w:before="100" w:beforeAutospacing="1" w:after="100" w:afterAutospacing="1" w:line="360" w:lineRule="auto"/>
        <w:rPr>
          <w:rFonts w:ascii="Trebuchet MS" w:eastAsia="Times New Roman" w:hAnsi="Trebuchet MS" w:cs="Times New Roman"/>
          <w:lang w:val="en" w:eastAsia="en-IE" w:bidi="ne-NP"/>
        </w:rPr>
      </w:pPr>
      <w:proofErr w:type="gramStart"/>
      <w:r w:rsidRPr="00E15361">
        <w:rPr>
          <w:rFonts w:ascii="Trebuchet MS" w:eastAsia="Times New Roman" w:hAnsi="Trebuchet MS" w:cs="Times New Roman"/>
          <w:lang w:val="en" w:eastAsia="en-IE" w:bidi="ne-NP"/>
        </w:rPr>
        <w:t>Protects the basic standard of living of people with disabilities.</w:t>
      </w:r>
      <w:proofErr w:type="gramEnd"/>
      <w:r w:rsidRPr="00E15361">
        <w:rPr>
          <w:rFonts w:ascii="Trebuchet MS" w:eastAsia="Times New Roman" w:hAnsi="Trebuchet MS" w:cs="Times New Roman"/>
          <w:lang w:val="en" w:eastAsia="en-IE" w:bidi="ne-NP"/>
        </w:rPr>
        <w:t xml:space="preserve">  This means </w:t>
      </w:r>
      <w:proofErr w:type="spellStart"/>
      <w:r w:rsidRPr="00E15361">
        <w:rPr>
          <w:rFonts w:ascii="Trebuchet MS" w:eastAsia="Times New Roman" w:hAnsi="Trebuchet MS" w:cs="Times New Roman"/>
          <w:lang w:val="en" w:eastAsia="en-IE" w:bidi="ne-NP"/>
        </w:rPr>
        <w:t>recognising</w:t>
      </w:r>
      <w:proofErr w:type="spellEnd"/>
      <w:r w:rsidRPr="00E15361">
        <w:rPr>
          <w:rFonts w:ascii="Trebuchet MS" w:eastAsia="Times New Roman" w:hAnsi="Trebuchet MS" w:cs="Times New Roman"/>
          <w:lang w:val="en" w:eastAsia="en-IE" w:bidi="ne-NP"/>
        </w:rPr>
        <w:t xml:space="preserve"> the extra costs that people with disabilities incur living in one’s home, in maintaining one’s health, accessing education, and employment and in travel.</w:t>
      </w:r>
    </w:p>
    <w:p w:rsidR="00E15361" w:rsidRPr="00E15361" w:rsidRDefault="00E15361" w:rsidP="00E15361">
      <w:pPr>
        <w:numPr>
          <w:ilvl w:val="0"/>
          <w:numId w:val="1"/>
        </w:numPr>
        <w:spacing w:before="100" w:beforeAutospacing="1" w:after="100" w:afterAutospacing="1" w:line="360" w:lineRule="auto"/>
        <w:rPr>
          <w:rFonts w:ascii="Trebuchet MS" w:eastAsia="Times New Roman" w:hAnsi="Trebuchet MS" w:cs="Times New Roman"/>
          <w:lang w:val="en" w:eastAsia="en-IE" w:bidi="ne-NP"/>
        </w:rPr>
      </w:pPr>
      <w:r w:rsidRPr="00E15361">
        <w:rPr>
          <w:rFonts w:ascii="Trebuchet MS" w:eastAsia="Times New Roman" w:hAnsi="Trebuchet MS" w:cs="Times New Roman"/>
          <w:lang w:val="en" w:eastAsia="en-IE" w:bidi="ne-NP"/>
        </w:rPr>
        <w:t xml:space="preserve">Introduces no more cuts to disability services and </w:t>
      </w:r>
      <w:proofErr w:type="spellStart"/>
      <w:r w:rsidRPr="00E15361">
        <w:rPr>
          <w:rFonts w:ascii="Trebuchet MS" w:eastAsia="Times New Roman" w:hAnsi="Trebuchet MS" w:cs="Times New Roman"/>
          <w:lang w:val="en" w:eastAsia="en-IE" w:bidi="ne-NP"/>
        </w:rPr>
        <w:t>prioritises</w:t>
      </w:r>
      <w:proofErr w:type="spellEnd"/>
      <w:r w:rsidRPr="00E15361">
        <w:rPr>
          <w:rFonts w:ascii="Trebuchet MS" w:eastAsia="Times New Roman" w:hAnsi="Trebuchet MS" w:cs="Times New Roman"/>
          <w:lang w:val="en" w:eastAsia="en-IE" w:bidi="ne-NP"/>
        </w:rPr>
        <w:t xml:space="preserve"> investment in community living. </w:t>
      </w:r>
    </w:p>
    <w:p w:rsidR="00E15361" w:rsidRPr="00E15361" w:rsidRDefault="00E15361" w:rsidP="00E15361">
      <w:pPr>
        <w:numPr>
          <w:ilvl w:val="0"/>
          <w:numId w:val="1"/>
        </w:numPr>
        <w:spacing w:before="100" w:beforeAutospacing="1" w:after="100" w:afterAutospacing="1" w:line="360" w:lineRule="auto"/>
        <w:rPr>
          <w:rFonts w:ascii="Trebuchet MS" w:eastAsia="Times New Roman" w:hAnsi="Trebuchet MS" w:cs="Times New Roman"/>
          <w:lang w:val="en" w:eastAsia="en-IE" w:bidi="ne-NP"/>
        </w:rPr>
      </w:pPr>
      <w:proofErr w:type="spellStart"/>
      <w:proofErr w:type="gramStart"/>
      <w:r w:rsidRPr="00E15361">
        <w:rPr>
          <w:rFonts w:ascii="Trebuchet MS" w:eastAsia="Times New Roman" w:hAnsi="Trebuchet MS" w:cs="Times New Roman"/>
          <w:lang w:val="en" w:eastAsia="en-IE" w:bidi="ne-NP"/>
        </w:rPr>
        <w:t>Prioritises</w:t>
      </w:r>
      <w:proofErr w:type="spellEnd"/>
      <w:r w:rsidRPr="00E15361">
        <w:rPr>
          <w:rFonts w:ascii="Trebuchet MS" w:eastAsia="Times New Roman" w:hAnsi="Trebuchet MS" w:cs="Times New Roman"/>
          <w:lang w:val="en" w:eastAsia="en-IE" w:bidi="ne-NP"/>
        </w:rPr>
        <w:t xml:space="preserve"> investment in public services to make them appropriate and accessible for people with disabilities including health, education, employment transport, and housing services.</w:t>
      </w:r>
      <w:proofErr w:type="gramEnd"/>
      <w:r w:rsidRPr="00E15361">
        <w:rPr>
          <w:rFonts w:ascii="Trebuchet MS" w:eastAsia="Times New Roman" w:hAnsi="Trebuchet MS" w:cs="Times New Roman"/>
          <w:lang w:val="en" w:eastAsia="en-IE" w:bidi="ne-NP"/>
        </w:rPr>
        <w:t> </w:t>
      </w:r>
    </w:p>
    <w:p w:rsidR="00E15361" w:rsidRPr="00E15361" w:rsidRDefault="00E15361" w:rsidP="00E15361">
      <w:pPr>
        <w:spacing w:before="150" w:after="150" w:line="360" w:lineRule="auto"/>
        <w:ind w:left="150" w:right="150"/>
        <w:rPr>
          <w:rFonts w:ascii="Trebuchet MS" w:eastAsia="Times New Roman" w:hAnsi="Trebuchet MS" w:cs="Times New Roman"/>
          <w:sz w:val="21"/>
          <w:szCs w:val="21"/>
          <w:lang w:val="en" w:eastAsia="en-IE" w:bidi="ne-NP"/>
        </w:rPr>
      </w:pPr>
      <w:r w:rsidRPr="00E15361">
        <w:rPr>
          <w:rFonts w:ascii="Trebuchet MS" w:eastAsia="Times New Roman" w:hAnsi="Trebuchet MS" w:cs="Times New Roman"/>
          <w:sz w:val="21"/>
          <w:szCs w:val="21"/>
          <w:lang w:val="en" w:eastAsia="en-IE" w:bidi="ne-NP"/>
        </w:rPr>
        <w:t xml:space="preserve">After five years of cumulative, stringent measures, where social inclusion outcomes for people have become less of a priority than financial outcomes, we consider that the time is long overdue to rebalance the Government’s recovery </w:t>
      </w:r>
      <w:r w:rsidRPr="00E15361">
        <w:rPr>
          <w:rFonts w:ascii="Trebuchet MS" w:eastAsia="Times New Roman" w:hAnsi="Trebuchet MS" w:cs="Times New Roman"/>
          <w:sz w:val="21"/>
          <w:szCs w:val="21"/>
          <w:lang w:eastAsia="en-IE" w:bidi="ne-NP"/>
        </w:rPr>
        <w:t>programme</w:t>
      </w:r>
      <w:r w:rsidRPr="00E15361">
        <w:rPr>
          <w:rFonts w:ascii="Trebuchet MS" w:eastAsia="Times New Roman" w:hAnsi="Trebuchet MS" w:cs="Times New Roman"/>
          <w:sz w:val="21"/>
          <w:szCs w:val="21"/>
          <w:lang w:val="en" w:eastAsia="en-IE" w:bidi="ne-NP"/>
        </w:rPr>
        <w:t xml:space="preserve">. We cannot accept the reduction of the government deficit as a marker of success, when it is at the expense of a damaged social infrastructure, and the creation of further inequalities in society. People with disabilities over the past number of years </w:t>
      </w:r>
      <w:proofErr w:type="gramStart"/>
      <w:r w:rsidRPr="00E15361">
        <w:rPr>
          <w:rFonts w:ascii="Trebuchet MS" w:eastAsia="Times New Roman" w:hAnsi="Trebuchet MS" w:cs="Times New Roman"/>
          <w:sz w:val="21"/>
          <w:szCs w:val="21"/>
          <w:lang w:val="en" w:eastAsia="en-IE" w:bidi="ne-NP"/>
        </w:rPr>
        <w:t>have been greatly affected</w:t>
      </w:r>
      <w:proofErr w:type="gramEnd"/>
      <w:r w:rsidRPr="00E15361">
        <w:rPr>
          <w:rFonts w:ascii="Trebuchet MS" w:eastAsia="Times New Roman" w:hAnsi="Trebuchet MS" w:cs="Times New Roman"/>
          <w:sz w:val="21"/>
          <w:szCs w:val="21"/>
          <w:lang w:val="en" w:eastAsia="en-IE" w:bidi="ne-NP"/>
        </w:rPr>
        <w:t xml:space="preserve"> by cuts in health services in particular. As many different public </w:t>
      </w:r>
      <w:proofErr w:type="gramStart"/>
      <w:r w:rsidRPr="00E15361">
        <w:rPr>
          <w:rFonts w:ascii="Trebuchet MS" w:eastAsia="Times New Roman" w:hAnsi="Trebuchet MS" w:cs="Times New Roman"/>
          <w:sz w:val="21"/>
          <w:szCs w:val="21"/>
          <w:lang w:val="en" w:eastAsia="en-IE" w:bidi="ne-NP"/>
        </w:rPr>
        <w:t>bodies,</w:t>
      </w:r>
      <w:proofErr w:type="gramEnd"/>
      <w:r w:rsidRPr="00E15361">
        <w:rPr>
          <w:rFonts w:ascii="Trebuchet MS" w:eastAsia="Times New Roman" w:hAnsi="Trebuchet MS" w:cs="Times New Roman"/>
          <w:sz w:val="21"/>
          <w:szCs w:val="21"/>
          <w:lang w:val="en" w:eastAsia="en-IE" w:bidi="ne-NP"/>
        </w:rPr>
        <w:t xml:space="preserve"> and not the Department of Health alone fund aspects of the social infrastructure that supports people with disabilities, it is essential that the overall, cumulative impact of budget decisions is explicitly considered.   </w:t>
      </w:r>
    </w:p>
    <w:p w:rsidR="00E15361" w:rsidRPr="00E15361" w:rsidRDefault="00E15361" w:rsidP="00E15361">
      <w:pPr>
        <w:spacing w:before="150" w:after="150" w:line="360" w:lineRule="auto"/>
        <w:ind w:left="150" w:right="150"/>
        <w:rPr>
          <w:rFonts w:ascii="Trebuchet MS" w:eastAsia="Times New Roman" w:hAnsi="Trebuchet MS" w:cs="Times New Roman"/>
          <w:sz w:val="21"/>
          <w:szCs w:val="21"/>
          <w:lang w:val="en" w:eastAsia="en-IE" w:bidi="ne-NP"/>
        </w:rPr>
      </w:pPr>
      <w:proofErr w:type="gramStart"/>
      <w:r w:rsidRPr="00E15361">
        <w:rPr>
          <w:rFonts w:ascii="Trebuchet MS" w:eastAsia="Times New Roman" w:hAnsi="Trebuchet MS" w:cs="Times New Roman"/>
          <w:sz w:val="21"/>
          <w:szCs w:val="21"/>
          <w:lang w:val="en" w:eastAsia="en-IE" w:bidi="ne-NP"/>
        </w:rPr>
        <w:t>Government’s</w:t>
      </w:r>
      <w:proofErr w:type="gramEnd"/>
      <w:r w:rsidRPr="00E15361">
        <w:rPr>
          <w:rFonts w:ascii="Trebuchet MS" w:eastAsia="Times New Roman" w:hAnsi="Trebuchet MS" w:cs="Times New Roman"/>
          <w:sz w:val="21"/>
          <w:szCs w:val="21"/>
          <w:lang w:val="en" w:eastAsia="en-IE" w:bidi="ne-NP"/>
        </w:rPr>
        <w:t xml:space="preserve"> stated policy for tackling poverty and social exclusion focuses on three interconnecting themes, income supports, activation, and access to services.</w:t>
      </w:r>
      <w:bookmarkStart w:id="0" w:name="_ftnref1"/>
      <w:r w:rsidRPr="00E15361">
        <w:rPr>
          <w:rFonts w:ascii="Trebuchet MS" w:eastAsia="Times New Roman" w:hAnsi="Trebuchet MS" w:cs="Times New Roman"/>
          <w:sz w:val="21"/>
          <w:szCs w:val="21"/>
          <w:lang w:val="en" w:eastAsia="en-IE" w:bidi="ne-NP"/>
        </w:rPr>
        <w:fldChar w:fldCharType="begin"/>
      </w:r>
      <w:r w:rsidRPr="00E15361">
        <w:rPr>
          <w:rFonts w:ascii="Trebuchet MS" w:eastAsia="Times New Roman" w:hAnsi="Trebuchet MS" w:cs="Times New Roman"/>
          <w:sz w:val="21"/>
          <w:szCs w:val="21"/>
          <w:lang w:val="en" w:eastAsia="en-IE" w:bidi="ne-NP"/>
        </w:rPr>
        <w:instrText xml:space="preserve"> HYPERLINK "file:///O:\\Events\\Budgets\\Submission%202014\\Budget%20Submission%202014.docx" \o "" </w:instrText>
      </w:r>
      <w:r w:rsidRPr="00E15361">
        <w:rPr>
          <w:rFonts w:ascii="Trebuchet MS" w:eastAsia="Times New Roman" w:hAnsi="Trebuchet MS" w:cs="Times New Roman"/>
          <w:sz w:val="21"/>
          <w:szCs w:val="21"/>
          <w:lang w:val="en" w:eastAsia="en-IE" w:bidi="ne-NP"/>
        </w:rPr>
        <w:fldChar w:fldCharType="separate"/>
      </w:r>
      <w:r w:rsidRPr="00E15361">
        <w:rPr>
          <w:rFonts w:ascii="Trebuchet MS" w:eastAsia="Times New Roman" w:hAnsi="Trebuchet MS" w:cs="Times New Roman"/>
          <w:color w:val="2D3744"/>
          <w:sz w:val="21"/>
          <w:szCs w:val="21"/>
          <w:u w:val="single"/>
          <w:vertAlign w:val="superscript"/>
          <w:lang w:val="en" w:eastAsia="en-IE" w:bidi="ne-NP"/>
        </w:rPr>
        <w:t>[1]</w:t>
      </w:r>
      <w:r w:rsidRPr="00E15361">
        <w:rPr>
          <w:rFonts w:ascii="Trebuchet MS" w:eastAsia="Times New Roman" w:hAnsi="Trebuchet MS" w:cs="Times New Roman"/>
          <w:sz w:val="21"/>
          <w:szCs w:val="21"/>
          <w:lang w:val="en" w:eastAsia="en-IE" w:bidi="ne-NP"/>
        </w:rPr>
        <w:fldChar w:fldCharType="end"/>
      </w:r>
      <w:bookmarkEnd w:id="0"/>
    </w:p>
    <w:p w:rsidR="00E15361" w:rsidRPr="00E15361" w:rsidRDefault="00E15361" w:rsidP="00E15361">
      <w:pPr>
        <w:spacing w:before="150" w:after="150" w:line="360" w:lineRule="auto"/>
        <w:ind w:left="150" w:right="150"/>
        <w:rPr>
          <w:rFonts w:ascii="Trebuchet MS" w:eastAsia="Times New Roman" w:hAnsi="Trebuchet MS" w:cs="Times New Roman"/>
          <w:sz w:val="21"/>
          <w:szCs w:val="21"/>
          <w:lang w:val="en" w:eastAsia="en-IE" w:bidi="ne-NP"/>
        </w:rPr>
      </w:pPr>
      <w:r w:rsidRPr="00E15361">
        <w:rPr>
          <w:rFonts w:ascii="Trebuchet MS" w:eastAsia="Times New Roman" w:hAnsi="Trebuchet MS" w:cs="Times New Roman"/>
          <w:sz w:val="21"/>
          <w:szCs w:val="21"/>
          <w:lang w:val="en" w:eastAsia="en-IE" w:bidi="ne-NP"/>
        </w:rPr>
        <w:t xml:space="preserve">We know that people with disabilities are disadvantaged on poverty and social inclusion indicators and experience barriers relating to accessing health and education services, and in </w:t>
      </w:r>
      <w:r w:rsidRPr="00E15361">
        <w:rPr>
          <w:rFonts w:ascii="Trebuchet MS" w:eastAsia="Times New Roman" w:hAnsi="Trebuchet MS" w:cs="Times New Roman"/>
          <w:sz w:val="21"/>
          <w:szCs w:val="21"/>
          <w:lang w:eastAsia="en-IE" w:bidi="ne-NP"/>
        </w:rPr>
        <w:t>labour</w:t>
      </w:r>
      <w:r w:rsidRPr="00E15361">
        <w:rPr>
          <w:rFonts w:ascii="Trebuchet MS" w:eastAsia="Times New Roman" w:hAnsi="Trebuchet MS" w:cs="Times New Roman"/>
          <w:sz w:val="21"/>
          <w:szCs w:val="21"/>
          <w:lang w:val="en" w:eastAsia="en-IE" w:bidi="ne-NP"/>
        </w:rPr>
        <w:t xml:space="preserve"> market activation. It is not satisfactory that this should persist in 2013. Instead of tackling this problem, we have seen a steady ‘chipping away’ at the services and supports which form part of the social infrastructure that allows people to live ordinary lives in their communities.</w:t>
      </w:r>
    </w:p>
    <w:p w:rsidR="00E15361" w:rsidRPr="00E15361" w:rsidRDefault="00E15361" w:rsidP="00E15361">
      <w:pPr>
        <w:spacing w:before="150" w:after="150" w:line="360" w:lineRule="auto"/>
        <w:ind w:left="150" w:right="150"/>
        <w:rPr>
          <w:rFonts w:ascii="Trebuchet MS" w:eastAsia="Times New Roman" w:hAnsi="Trebuchet MS" w:cs="Times New Roman"/>
          <w:sz w:val="21"/>
          <w:szCs w:val="21"/>
          <w:lang w:val="en" w:eastAsia="en-IE" w:bidi="ne-NP"/>
        </w:rPr>
      </w:pPr>
      <w:r w:rsidRPr="00E15361">
        <w:rPr>
          <w:rFonts w:ascii="Trebuchet MS" w:eastAsia="Times New Roman" w:hAnsi="Trebuchet MS" w:cs="Times New Roman"/>
          <w:sz w:val="21"/>
          <w:szCs w:val="21"/>
          <w:lang w:val="en" w:eastAsia="en-IE" w:bidi="ne-NP"/>
        </w:rPr>
        <w:t xml:space="preserve">The ‘chipping away’ at both disability specific and mainstream supports over the past year represents a complete lack of understanding of the challenges faced by people with disabilities trying to live an ordinary life with health and well-being. </w:t>
      </w:r>
      <w:proofErr w:type="gramStart"/>
      <w:r w:rsidRPr="00E15361">
        <w:rPr>
          <w:rFonts w:ascii="Trebuchet MS" w:eastAsia="Times New Roman" w:hAnsi="Trebuchet MS" w:cs="Times New Roman"/>
          <w:sz w:val="21"/>
          <w:szCs w:val="21"/>
          <w:lang w:val="en" w:eastAsia="en-IE" w:bidi="ne-NP"/>
        </w:rPr>
        <w:t xml:space="preserve">These include the reduction in HSE funding for disability services, cuts to the Housing Adaptation Grant schemes, reductions in Special Needs Assistance in schools, targeting of the Mobility Allowance and </w:t>
      </w:r>
      <w:proofErr w:type="spellStart"/>
      <w:r w:rsidRPr="00E15361">
        <w:rPr>
          <w:rFonts w:ascii="Trebuchet MS" w:eastAsia="Times New Roman" w:hAnsi="Trebuchet MS" w:cs="Times New Roman"/>
          <w:sz w:val="21"/>
          <w:szCs w:val="21"/>
          <w:lang w:val="en" w:eastAsia="en-IE" w:bidi="ne-NP"/>
        </w:rPr>
        <w:t>Motorised</w:t>
      </w:r>
      <w:proofErr w:type="spellEnd"/>
      <w:r w:rsidRPr="00E15361">
        <w:rPr>
          <w:rFonts w:ascii="Trebuchet MS" w:eastAsia="Times New Roman" w:hAnsi="Trebuchet MS" w:cs="Times New Roman"/>
          <w:sz w:val="21"/>
          <w:szCs w:val="21"/>
          <w:lang w:val="en" w:eastAsia="en-IE" w:bidi="ne-NP"/>
        </w:rPr>
        <w:t xml:space="preserve"> Transport Grant, reduction in number of Personal Assistance and Home Support hours available, cuts in the Household Benefits Package, increased </w:t>
      </w:r>
      <w:r w:rsidRPr="00E15361">
        <w:rPr>
          <w:rFonts w:ascii="Trebuchet MS" w:eastAsia="Times New Roman" w:hAnsi="Trebuchet MS" w:cs="Times New Roman"/>
          <w:sz w:val="21"/>
          <w:szCs w:val="21"/>
          <w:lang w:val="en" w:eastAsia="en-IE" w:bidi="ne-NP"/>
        </w:rPr>
        <w:lastRenderedPageBreak/>
        <w:t>prescription charges, increase in the threshold of the Drugs Payment Scheme, rolling back of free GP care for people with certain illnesses and reduction in the Respite Care Grant.</w:t>
      </w:r>
      <w:proofErr w:type="gramEnd"/>
      <w:r w:rsidRPr="00E15361">
        <w:rPr>
          <w:rFonts w:ascii="Trebuchet MS" w:eastAsia="Times New Roman" w:hAnsi="Trebuchet MS" w:cs="Times New Roman"/>
          <w:sz w:val="21"/>
          <w:szCs w:val="21"/>
          <w:lang w:val="en" w:eastAsia="en-IE" w:bidi="ne-NP"/>
        </w:rPr>
        <w:t xml:space="preserve"> In </w:t>
      </w:r>
      <w:proofErr w:type="gramStart"/>
      <w:r w:rsidRPr="00E15361">
        <w:rPr>
          <w:rFonts w:ascii="Trebuchet MS" w:eastAsia="Times New Roman" w:hAnsi="Trebuchet MS" w:cs="Times New Roman"/>
          <w:sz w:val="21"/>
          <w:szCs w:val="21"/>
          <w:lang w:val="en" w:eastAsia="en-IE" w:bidi="ne-NP"/>
        </w:rPr>
        <w:t>addition</w:t>
      </w:r>
      <w:proofErr w:type="gramEnd"/>
      <w:r w:rsidRPr="00E15361">
        <w:rPr>
          <w:rFonts w:ascii="Trebuchet MS" w:eastAsia="Times New Roman" w:hAnsi="Trebuchet MS" w:cs="Times New Roman"/>
          <w:sz w:val="21"/>
          <w:szCs w:val="21"/>
          <w:lang w:val="en" w:eastAsia="en-IE" w:bidi="ne-NP"/>
        </w:rPr>
        <w:t xml:space="preserve"> as people with disabilities still face many barriers to participation in education and employment, we must ensure that </w:t>
      </w:r>
      <w:proofErr w:type="spellStart"/>
      <w:r w:rsidRPr="00E15361">
        <w:rPr>
          <w:rFonts w:ascii="Trebuchet MS" w:eastAsia="Times New Roman" w:hAnsi="Trebuchet MS" w:cs="Times New Roman"/>
          <w:sz w:val="21"/>
          <w:szCs w:val="21"/>
          <w:lang w:val="en" w:eastAsia="en-IE" w:bidi="ne-NP"/>
        </w:rPr>
        <w:t>labour</w:t>
      </w:r>
      <w:proofErr w:type="spellEnd"/>
      <w:r w:rsidRPr="00E15361">
        <w:rPr>
          <w:rFonts w:ascii="Trebuchet MS" w:eastAsia="Times New Roman" w:hAnsi="Trebuchet MS" w:cs="Times New Roman"/>
          <w:sz w:val="21"/>
          <w:szCs w:val="21"/>
          <w:lang w:val="en" w:eastAsia="en-IE" w:bidi="ne-NP"/>
        </w:rPr>
        <w:t xml:space="preserve"> market activation measures are open to those in receipt of disability payments. Human rights and social inclusion should not become the collateral damage of this recession.</w:t>
      </w:r>
    </w:p>
    <w:p w:rsidR="00E15361" w:rsidRPr="00E15361" w:rsidRDefault="00E15361" w:rsidP="00E15361">
      <w:pPr>
        <w:spacing w:before="150" w:after="150" w:line="360" w:lineRule="auto"/>
        <w:ind w:left="150" w:right="150"/>
        <w:rPr>
          <w:rFonts w:ascii="Trebuchet MS" w:eastAsia="Times New Roman" w:hAnsi="Trebuchet MS" w:cs="Times New Roman"/>
          <w:sz w:val="21"/>
          <w:szCs w:val="21"/>
          <w:lang w:val="en" w:eastAsia="en-IE" w:bidi="ne-NP"/>
        </w:rPr>
      </w:pPr>
      <w:r w:rsidRPr="00E15361">
        <w:rPr>
          <w:rFonts w:ascii="Trebuchet MS" w:eastAsia="Times New Roman" w:hAnsi="Trebuchet MS" w:cs="Times New Roman"/>
          <w:sz w:val="21"/>
          <w:szCs w:val="21"/>
          <w:lang w:val="en" w:eastAsia="en-IE" w:bidi="ne-NP"/>
        </w:rPr>
        <w:t xml:space="preserve">Ireland is soon to ratify the UN Convention on the Rights of Persons with Disabilities (UNCRPD). We must remember that the objectives of the UNCRPD </w:t>
      </w:r>
      <w:proofErr w:type="gramStart"/>
      <w:r w:rsidRPr="00E15361">
        <w:rPr>
          <w:rFonts w:ascii="Trebuchet MS" w:eastAsia="Times New Roman" w:hAnsi="Trebuchet MS" w:cs="Times New Roman"/>
          <w:sz w:val="21"/>
          <w:szCs w:val="21"/>
          <w:lang w:val="en" w:eastAsia="en-IE" w:bidi="ne-NP"/>
        </w:rPr>
        <w:t>cannot be adequately implemented</w:t>
      </w:r>
      <w:proofErr w:type="gramEnd"/>
      <w:r w:rsidRPr="00E15361">
        <w:rPr>
          <w:rFonts w:ascii="Trebuchet MS" w:eastAsia="Times New Roman" w:hAnsi="Trebuchet MS" w:cs="Times New Roman"/>
          <w:sz w:val="21"/>
          <w:szCs w:val="21"/>
          <w:lang w:val="en" w:eastAsia="en-IE" w:bidi="ne-NP"/>
        </w:rPr>
        <w:t xml:space="preserve"> without the necessary resources and structures. In this regard, the commitment in the </w:t>
      </w:r>
      <w:proofErr w:type="spellStart"/>
      <w:r w:rsidRPr="00E15361">
        <w:rPr>
          <w:rFonts w:ascii="Trebuchet MS" w:eastAsia="Times New Roman" w:hAnsi="Trebuchet MS" w:cs="Times New Roman"/>
          <w:sz w:val="21"/>
          <w:szCs w:val="21"/>
          <w:lang w:val="en" w:eastAsia="en-IE" w:bidi="ne-NP"/>
        </w:rPr>
        <w:t>Programme</w:t>
      </w:r>
      <w:proofErr w:type="spellEnd"/>
      <w:r w:rsidRPr="00E15361">
        <w:rPr>
          <w:rFonts w:ascii="Trebuchet MS" w:eastAsia="Times New Roman" w:hAnsi="Trebuchet MS" w:cs="Times New Roman"/>
          <w:sz w:val="21"/>
          <w:szCs w:val="21"/>
          <w:lang w:val="en" w:eastAsia="en-IE" w:bidi="ne-NP"/>
        </w:rPr>
        <w:t xml:space="preserve"> for Government was to have a National Disability Strategy in place by May 2012.</w:t>
      </w:r>
    </w:p>
    <w:p w:rsidR="00E15361" w:rsidRPr="00E15361" w:rsidRDefault="00E15361" w:rsidP="00E15361">
      <w:pPr>
        <w:spacing w:before="150" w:after="150" w:line="360" w:lineRule="auto"/>
        <w:ind w:left="150" w:right="150"/>
        <w:rPr>
          <w:rFonts w:ascii="Trebuchet MS" w:eastAsia="Times New Roman" w:hAnsi="Trebuchet MS" w:cs="Times New Roman"/>
          <w:sz w:val="21"/>
          <w:szCs w:val="21"/>
          <w:lang w:val="en" w:eastAsia="en-IE" w:bidi="ne-NP"/>
        </w:rPr>
      </w:pPr>
      <w:r w:rsidRPr="00E15361">
        <w:rPr>
          <w:rFonts w:ascii="Trebuchet MS" w:eastAsia="Times New Roman" w:hAnsi="Trebuchet MS" w:cs="Times New Roman"/>
          <w:sz w:val="21"/>
          <w:szCs w:val="21"/>
          <w:lang w:val="en" w:eastAsia="en-IE" w:bidi="ne-NP"/>
        </w:rPr>
        <w:t xml:space="preserve">The Government must end its contradictory policy </w:t>
      </w:r>
      <w:proofErr w:type="gramStart"/>
      <w:r w:rsidRPr="00E15361">
        <w:rPr>
          <w:rFonts w:ascii="Trebuchet MS" w:eastAsia="Times New Roman" w:hAnsi="Trebuchet MS" w:cs="Times New Roman"/>
          <w:sz w:val="21"/>
          <w:szCs w:val="21"/>
          <w:lang w:val="en" w:eastAsia="en-IE" w:bidi="ne-NP"/>
        </w:rPr>
        <w:t>of on the one hand having</w:t>
      </w:r>
      <w:proofErr w:type="gramEnd"/>
      <w:r w:rsidRPr="00E15361">
        <w:rPr>
          <w:rFonts w:ascii="Trebuchet MS" w:eastAsia="Times New Roman" w:hAnsi="Trebuchet MS" w:cs="Times New Roman"/>
          <w:sz w:val="21"/>
          <w:szCs w:val="21"/>
          <w:lang w:val="en" w:eastAsia="en-IE" w:bidi="ne-NP"/>
        </w:rPr>
        <w:t xml:space="preserve"> national policy objectives that support community living for people with disabilities, and on the other, implementing continued cuts in funding and administrative practices that undermine community based approaches to services for people with disabilities.  The on-going dismantling of the existing community and social infrastructure makes no sense in the context of the Government’s own policy objectives. </w:t>
      </w:r>
    </w:p>
    <w:p w:rsidR="00E15361" w:rsidRPr="00E15361" w:rsidRDefault="00E15361" w:rsidP="00E15361">
      <w:pPr>
        <w:spacing w:before="150" w:after="150" w:line="360" w:lineRule="auto"/>
        <w:ind w:left="150" w:right="150"/>
        <w:rPr>
          <w:rFonts w:ascii="Trebuchet MS" w:eastAsia="Times New Roman" w:hAnsi="Trebuchet MS" w:cs="Times New Roman"/>
          <w:sz w:val="21"/>
          <w:szCs w:val="21"/>
          <w:lang w:val="en" w:eastAsia="en-IE" w:bidi="ne-NP"/>
        </w:rPr>
      </w:pPr>
      <w:proofErr w:type="gramStart"/>
      <w:r w:rsidRPr="00E15361">
        <w:rPr>
          <w:rFonts w:ascii="Trebuchet MS" w:eastAsia="Times New Roman" w:hAnsi="Trebuchet MS" w:cs="Times New Roman"/>
          <w:sz w:val="21"/>
          <w:szCs w:val="21"/>
          <w:lang w:val="en" w:eastAsia="en-IE" w:bidi="ne-NP"/>
        </w:rPr>
        <w:t>The inconsistent approach of supporting austerity measures, while at the same time aspiring to be socially inclusive is not working.</w:t>
      </w:r>
      <w:proofErr w:type="gramEnd"/>
      <w:r w:rsidRPr="00E15361">
        <w:rPr>
          <w:rFonts w:ascii="Trebuchet MS" w:eastAsia="Times New Roman" w:hAnsi="Trebuchet MS" w:cs="Times New Roman"/>
          <w:sz w:val="21"/>
          <w:szCs w:val="21"/>
          <w:lang w:val="en" w:eastAsia="en-IE" w:bidi="ne-NP"/>
        </w:rPr>
        <w:t xml:space="preserve"> The danger of following this approach, where community services and supports </w:t>
      </w:r>
      <w:proofErr w:type="gramStart"/>
      <w:r w:rsidRPr="00E15361">
        <w:rPr>
          <w:rFonts w:ascii="Trebuchet MS" w:eastAsia="Times New Roman" w:hAnsi="Trebuchet MS" w:cs="Times New Roman"/>
          <w:sz w:val="21"/>
          <w:szCs w:val="21"/>
          <w:lang w:val="en" w:eastAsia="en-IE" w:bidi="ne-NP"/>
        </w:rPr>
        <w:t>are being depleted</w:t>
      </w:r>
      <w:proofErr w:type="gramEnd"/>
      <w:r w:rsidRPr="00E15361">
        <w:rPr>
          <w:rFonts w:ascii="Trebuchet MS" w:eastAsia="Times New Roman" w:hAnsi="Trebuchet MS" w:cs="Times New Roman"/>
          <w:sz w:val="21"/>
          <w:szCs w:val="21"/>
          <w:lang w:val="en" w:eastAsia="en-IE" w:bidi="ne-NP"/>
        </w:rPr>
        <w:t xml:space="preserve"> represents a regression towards the traditional and out dated model of disability services. Departments should make all efforts to avoid this from happening in their </w:t>
      </w:r>
      <w:proofErr w:type="gramStart"/>
      <w:r w:rsidRPr="00E15361">
        <w:rPr>
          <w:rFonts w:ascii="Trebuchet MS" w:eastAsia="Times New Roman" w:hAnsi="Trebuchet MS" w:cs="Times New Roman"/>
          <w:sz w:val="21"/>
          <w:szCs w:val="21"/>
          <w:lang w:val="en" w:eastAsia="en-IE" w:bidi="ne-NP"/>
        </w:rPr>
        <w:t>decision making</w:t>
      </w:r>
      <w:proofErr w:type="gramEnd"/>
      <w:r w:rsidRPr="00E15361">
        <w:rPr>
          <w:rFonts w:ascii="Trebuchet MS" w:eastAsia="Times New Roman" w:hAnsi="Trebuchet MS" w:cs="Times New Roman"/>
          <w:sz w:val="21"/>
          <w:szCs w:val="21"/>
          <w:lang w:val="en" w:eastAsia="en-IE" w:bidi="ne-NP"/>
        </w:rPr>
        <w:t xml:space="preserve"> on expenditure and savings. Innovative, quality services and supports </w:t>
      </w:r>
      <w:proofErr w:type="gramStart"/>
      <w:r w:rsidRPr="00E15361">
        <w:rPr>
          <w:rFonts w:ascii="Trebuchet MS" w:eastAsia="Times New Roman" w:hAnsi="Trebuchet MS" w:cs="Times New Roman"/>
          <w:sz w:val="21"/>
          <w:szCs w:val="21"/>
          <w:lang w:val="en" w:eastAsia="en-IE" w:bidi="ne-NP"/>
        </w:rPr>
        <w:t>should not be targeted</w:t>
      </w:r>
      <w:proofErr w:type="gramEnd"/>
      <w:r w:rsidRPr="00E15361">
        <w:rPr>
          <w:rFonts w:ascii="Trebuchet MS" w:eastAsia="Times New Roman" w:hAnsi="Trebuchet MS" w:cs="Times New Roman"/>
          <w:sz w:val="21"/>
          <w:szCs w:val="21"/>
          <w:lang w:val="en" w:eastAsia="en-IE" w:bidi="ne-NP"/>
        </w:rPr>
        <w:t xml:space="preserve"> in this budget. Equally, a </w:t>
      </w:r>
      <w:proofErr w:type="gramStart"/>
      <w:r w:rsidRPr="00E15361">
        <w:rPr>
          <w:rFonts w:ascii="Trebuchet MS" w:eastAsia="Times New Roman" w:hAnsi="Trebuchet MS" w:cs="Times New Roman"/>
          <w:sz w:val="21"/>
          <w:szCs w:val="21"/>
          <w:lang w:val="en" w:eastAsia="en-IE" w:bidi="ne-NP"/>
        </w:rPr>
        <w:t>longer term</w:t>
      </w:r>
      <w:proofErr w:type="gramEnd"/>
      <w:r w:rsidRPr="00E15361">
        <w:rPr>
          <w:rFonts w:ascii="Trebuchet MS" w:eastAsia="Times New Roman" w:hAnsi="Trebuchet MS" w:cs="Times New Roman"/>
          <w:sz w:val="21"/>
          <w:szCs w:val="21"/>
          <w:lang w:val="en" w:eastAsia="en-IE" w:bidi="ne-NP"/>
        </w:rPr>
        <w:t xml:space="preserve"> approach to service planning is required that is evidence based, underpinned by social justice priorities, and not solely focused on efficiencies.</w:t>
      </w:r>
    </w:p>
    <w:p w:rsidR="00E15361" w:rsidRPr="00E15361" w:rsidRDefault="00E15361" w:rsidP="00E15361">
      <w:pPr>
        <w:spacing w:before="150" w:after="150" w:line="360" w:lineRule="auto"/>
        <w:ind w:left="150" w:right="150"/>
        <w:rPr>
          <w:rFonts w:ascii="Trebuchet MS" w:eastAsia="Times New Roman" w:hAnsi="Trebuchet MS" w:cs="Times New Roman"/>
          <w:sz w:val="21"/>
          <w:szCs w:val="21"/>
          <w:lang w:val="en" w:eastAsia="en-IE" w:bidi="ne-NP"/>
        </w:rPr>
      </w:pPr>
      <w:r w:rsidRPr="00E15361">
        <w:rPr>
          <w:rFonts w:ascii="Trebuchet MS" w:eastAsia="Times New Roman" w:hAnsi="Trebuchet MS" w:cs="Times New Roman"/>
          <w:sz w:val="21"/>
          <w:szCs w:val="21"/>
          <w:lang w:val="en" w:eastAsia="en-IE" w:bidi="ne-NP"/>
        </w:rPr>
        <w:t xml:space="preserve">The </w:t>
      </w:r>
      <w:proofErr w:type="spellStart"/>
      <w:r w:rsidRPr="00E15361">
        <w:rPr>
          <w:rFonts w:ascii="Trebuchet MS" w:eastAsia="Times New Roman" w:hAnsi="Trebuchet MS" w:cs="Times New Roman"/>
          <w:sz w:val="21"/>
          <w:szCs w:val="21"/>
          <w:lang w:val="en" w:eastAsia="en-IE" w:bidi="ne-NP"/>
        </w:rPr>
        <w:t>Programme</w:t>
      </w:r>
      <w:proofErr w:type="spellEnd"/>
      <w:r w:rsidRPr="00E15361">
        <w:rPr>
          <w:rFonts w:ascii="Trebuchet MS" w:eastAsia="Times New Roman" w:hAnsi="Trebuchet MS" w:cs="Times New Roman"/>
          <w:sz w:val="21"/>
          <w:szCs w:val="21"/>
          <w:lang w:val="en" w:eastAsia="en-IE" w:bidi="ne-NP"/>
        </w:rPr>
        <w:t xml:space="preserve"> for Government 2011 stated </w:t>
      </w:r>
      <w:proofErr w:type="gramStart"/>
      <w:r w:rsidRPr="00E15361">
        <w:rPr>
          <w:rFonts w:ascii="Trebuchet MS" w:eastAsia="Times New Roman" w:hAnsi="Trebuchet MS" w:cs="Times New Roman"/>
          <w:sz w:val="21"/>
          <w:szCs w:val="21"/>
          <w:lang w:val="en" w:eastAsia="en-IE" w:bidi="ne-NP"/>
        </w:rPr>
        <w:t>that:</w:t>
      </w:r>
      <w:proofErr w:type="gramEnd"/>
      <w:r w:rsidRPr="00E15361">
        <w:rPr>
          <w:rFonts w:ascii="Trebuchet MS" w:eastAsia="Times New Roman" w:hAnsi="Trebuchet MS" w:cs="Times New Roman"/>
          <w:sz w:val="21"/>
          <w:szCs w:val="21"/>
          <w:lang w:val="en" w:eastAsia="en-IE" w:bidi="ne-NP"/>
        </w:rPr>
        <w:t xml:space="preserve"> ‘By the end of our term in Government Ireland will be </w:t>
      </w:r>
      <w:proofErr w:type="spellStart"/>
      <w:r w:rsidRPr="00E15361">
        <w:rPr>
          <w:rFonts w:ascii="Trebuchet MS" w:eastAsia="Times New Roman" w:hAnsi="Trebuchet MS" w:cs="Times New Roman"/>
          <w:sz w:val="21"/>
          <w:szCs w:val="21"/>
          <w:lang w:val="en" w:eastAsia="en-IE" w:bidi="ne-NP"/>
        </w:rPr>
        <w:t>recognised</w:t>
      </w:r>
      <w:proofErr w:type="spellEnd"/>
      <w:r w:rsidRPr="00E15361">
        <w:rPr>
          <w:rFonts w:ascii="Trebuchet MS" w:eastAsia="Times New Roman" w:hAnsi="Trebuchet MS" w:cs="Times New Roman"/>
          <w:sz w:val="21"/>
          <w:szCs w:val="21"/>
          <w:lang w:val="en" w:eastAsia="en-IE" w:bidi="ne-NP"/>
        </w:rPr>
        <w:t xml:space="preserve"> as a modern, fair, socially inclusive and equal society supported by a productive and prosperous economy’. Now is the time for the Taoiseach and the Tánaiste to </w:t>
      </w:r>
      <w:proofErr w:type="spellStart"/>
      <w:r w:rsidRPr="00E15361">
        <w:rPr>
          <w:rFonts w:ascii="Trebuchet MS" w:eastAsia="Times New Roman" w:hAnsi="Trebuchet MS" w:cs="Times New Roman"/>
          <w:sz w:val="21"/>
          <w:szCs w:val="21"/>
          <w:lang w:val="en" w:eastAsia="en-IE" w:bidi="ne-NP"/>
        </w:rPr>
        <w:t>fulfil</w:t>
      </w:r>
      <w:proofErr w:type="spellEnd"/>
      <w:r w:rsidRPr="00E15361">
        <w:rPr>
          <w:rFonts w:ascii="Trebuchet MS" w:eastAsia="Times New Roman" w:hAnsi="Trebuchet MS" w:cs="Times New Roman"/>
          <w:sz w:val="21"/>
          <w:szCs w:val="21"/>
          <w:lang w:val="en" w:eastAsia="en-IE" w:bidi="ne-NP"/>
        </w:rPr>
        <w:t xml:space="preserve"> their commitment in the </w:t>
      </w:r>
      <w:proofErr w:type="spellStart"/>
      <w:r w:rsidRPr="00E15361">
        <w:rPr>
          <w:rFonts w:ascii="Trebuchet MS" w:eastAsia="Times New Roman" w:hAnsi="Trebuchet MS" w:cs="Times New Roman"/>
          <w:sz w:val="21"/>
          <w:szCs w:val="21"/>
          <w:lang w:val="en" w:eastAsia="en-IE" w:bidi="ne-NP"/>
        </w:rPr>
        <w:t>Programme</w:t>
      </w:r>
      <w:proofErr w:type="spellEnd"/>
      <w:r w:rsidRPr="00E15361">
        <w:rPr>
          <w:rFonts w:ascii="Trebuchet MS" w:eastAsia="Times New Roman" w:hAnsi="Trebuchet MS" w:cs="Times New Roman"/>
          <w:sz w:val="21"/>
          <w:szCs w:val="21"/>
          <w:lang w:val="en" w:eastAsia="en-IE" w:bidi="ne-NP"/>
        </w:rPr>
        <w:t xml:space="preserve"> for Government to an Implementation Plan for the National Disability Strategy, and to their identification of people with disabilities as their social justice </w:t>
      </w:r>
      <w:proofErr w:type="gramStart"/>
      <w:r w:rsidRPr="00E15361">
        <w:rPr>
          <w:rFonts w:ascii="Trebuchet MS" w:eastAsia="Times New Roman" w:hAnsi="Trebuchet MS" w:cs="Times New Roman"/>
          <w:sz w:val="21"/>
          <w:szCs w:val="21"/>
          <w:lang w:val="en" w:eastAsia="en-IE" w:bidi="ne-NP"/>
        </w:rPr>
        <w:t>priority</w:t>
      </w:r>
      <w:bookmarkStart w:id="1" w:name="_ftnref2"/>
      <w:proofErr w:type="gramEnd"/>
      <w:r w:rsidRPr="00E15361">
        <w:rPr>
          <w:rFonts w:ascii="Trebuchet MS" w:eastAsia="Times New Roman" w:hAnsi="Trebuchet MS" w:cs="Times New Roman"/>
          <w:sz w:val="21"/>
          <w:szCs w:val="21"/>
          <w:lang w:val="en" w:eastAsia="en-IE" w:bidi="ne-NP"/>
        </w:rPr>
        <w:fldChar w:fldCharType="begin"/>
      </w:r>
      <w:r w:rsidRPr="00E15361">
        <w:rPr>
          <w:rFonts w:ascii="Trebuchet MS" w:eastAsia="Times New Roman" w:hAnsi="Trebuchet MS" w:cs="Times New Roman"/>
          <w:sz w:val="21"/>
          <w:szCs w:val="21"/>
          <w:lang w:val="en" w:eastAsia="en-IE" w:bidi="ne-NP"/>
        </w:rPr>
        <w:instrText xml:space="preserve"> HYPERLINK "file:///O:\\Events\\Budgets\\Submission%202014\\Budget%20Submission%202014.docx" \o "" </w:instrText>
      </w:r>
      <w:r w:rsidRPr="00E15361">
        <w:rPr>
          <w:rFonts w:ascii="Trebuchet MS" w:eastAsia="Times New Roman" w:hAnsi="Trebuchet MS" w:cs="Times New Roman"/>
          <w:sz w:val="21"/>
          <w:szCs w:val="21"/>
          <w:lang w:val="en" w:eastAsia="en-IE" w:bidi="ne-NP"/>
        </w:rPr>
        <w:fldChar w:fldCharType="separate"/>
      </w:r>
      <w:r w:rsidRPr="00E15361">
        <w:rPr>
          <w:rFonts w:ascii="Trebuchet MS" w:eastAsia="Times New Roman" w:hAnsi="Trebuchet MS" w:cs="Times New Roman"/>
          <w:color w:val="2D3744"/>
          <w:sz w:val="21"/>
          <w:szCs w:val="21"/>
          <w:u w:val="single"/>
          <w:lang w:val="en" w:eastAsia="en-IE" w:bidi="ne-NP"/>
        </w:rPr>
        <w:t>[2]</w:t>
      </w:r>
      <w:r w:rsidRPr="00E15361">
        <w:rPr>
          <w:rFonts w:ascii="Trebuchet MS" w:eastAsia="Times New Roman" w:hAnsi="Trebuchet MS" w:cs="Times New Roman"/>
          <w:sz w:val="21"/>
          <w:szCs w:val="21"/>
          <w:lang w:val="en" w:eastAsia="en-IE" w:bidi="ne-NP"/>
        </w:rPr>
        <w:fldChar w:fldCharType="end"/>
      </w:r>
      <w:bookmarkEnd w:id="1"/>
      <w:r w:rsidRPr="00E15361">
        <w:rPr>
          <w:rFonts w:ascii="Trebuchet MS" w:eastAsia="Times New Roman" w:hAnsi="Trebuchet MS" w:cs="Times New Roman"/>
          <w:sz w:val="21"/>
          <w:szCs w:val="21"/>
          <w:lang w:val="en" w:eastAsia="en-IE" w:bidi="ne-NP"/>
        </w:rPr>
        <w:t>.  </w:t>
      </w:r>
    </w:p>
    <w:p w:rsidR="00E15361" w:rsidRPr="00E15361" w:rsidRDefault="00E15361" w:rsidP="00E15361">
      <w:pPr>
        <w:spacing w:after="0" w:line="360" w:lineRule="auto"/>
        <w:rPr>
          <w:rFonts w:ascii="Trebuchet MS" w:eastAsia="Times New Roman" w:hAnsi="Trebuchet MS" w:cs="Times New Roman"/>
          <w:lang w:val="en" w:eastAsia="en-IE" w:bidi="ne-NP"/>
        </w:rPr>
      </w:pPr>
      <w:r w:rsidRPr="00E15361">
        <w:rPr>
          <w:rFonts w:ascii="Trebuchet MS" w:eastAsia="Times New Roman" w:hAnsi="Trebuchet MS" w:cs="Times New Roman"/>
          <w:lang w:val="en" w:eastAsia="en-IE" w:bidi="ne-NP"/>
        </w:rPr>
        <w:pict>
          <v:rect id="_x0000_i1025" style="width:148.95pt;height:.75pt" o:hrpct="330" o:hrstd="t" o:hr="t" fillcolor="#a0a0a0" stroked="f"/>
        </w:pict>
      </w:r>
    </w:p>
    <w:bookmarkStart w:id="2" w:name="_ftn1"/>
    <w:p w:rsidR="00E15361" w:rsidRPr="00E15361" w:rsidRDefault="00E15361" w:rsidP="00E15361">
      <w:pPr>
        <w:spacing w:before="150" w:after="150" w:line="360" w:lineRule="auto"/>
        <w:ind w:left="150" w:right="150"/>
        <w:rPr>
          <w:rFonts w:ascii="Trebuchet MS" w:eastAsia="Times New Roman" w:hAnsi="Trebuchet MS" w:cs="Times New Roman"/>
          <w:sz w:val="21"/>
          <w:szCs w:val="21"/>
          <w:lang w:val="en" w:eastAsia="en-IE" w:bidi="ne-NP"/>
        </w:rPr>
      </w:pPr>
      <w:r w:rsidRPr="00E15361">
        <w:rPr>
          <w:rFonts w:ascii="Trebuchet MS" w:eastAsia="Times New Roman" w:hAnsi="Trebuchet MS" w:cs="Times New Roman"/>
          <w:sz w:val="21"/>
          <w:szCs w:val="21"/>
          <w:lang w:val="en" w:eastAsia="en-IE" w:bidi="ne-NP"/>
        </w:rPr>
        <w:fldChar w:fldCharType="begin"/>
      </w:r>
      <w:r w:rsidRPr="00E15361">
        <w:rPr>
          <w:rFonts w:ascii="Trebuchet MS" w:eastAsia="Times New Roman" w:hAnsi="Trebuchet MS" w:cs="Times New Roman"/>
          <w:sz w:val="21"/>
          <w:szCs w:val="21"/>
          <w:lang w:val="en" w:eastAsia="en-IE" w:bidi="ne-NP"/>
        </w:rPr>
        <w:instrText xml:space="preserve"> HYPERLINK "file:///O:\\Events\\Budgets\\Submission%202014\\Budget%20Submission%202014.docx" \o "" </w:instrText>
      </w:r>
      <w:r w:rsidRPr="00E15361">
        <w:rPr>
          <w:rFonts w:ascii="Trebuchet MS" w:eastAsia="Times New Roman" w:hAnsi="Trebuchet MS" w:cs="Times New Roman"/>
          <w:sz w:val="21"/>
          <w:szCs w:val="21"/>
          <w:lang w:val="en" w:eastAsia="en-IE" w:bidi="ne-NP"/>
        </w:rPr>
        <w:fldChar w:fldCharType="separate"/>
      </w:r>
      <w:r w:rsidRPr="00E15361">
        <w:rPr>
          <w:rFonts w:ascii="Trebuchet MS" w:eastAsia="Times New Roman" w:hAnsi="Trebuchet MS" w:cs="Times New Roman"/>
          <w:color w:val="2D3744"/>
          <w:sz w:val="21"/>
          <w:szCs w:val="21"/>
          <w:u w:val="single"/>
          <w:lang w:val="en" w:eastAsia="en-IE" w:bidi="ne-NP"/>
        </w:rPr>
        <w:t>[1]</w:t>
      </w:r>
      <w:r w:rsidRPr="00E15361">
        <w:rPr>
          <w:rFonts w:ascii="Trebuchet MS" w:eastAsia="Times New Roman" w:hAnsi="Trebuchet MS" w:cs="Times New Roman"/>
          <w:sz w:val="21"/>
          <w:szCs w:val="21"/>
          <w:lang w:val="en" w:eastAsia="en-IE" w:bidi="ne-NP"/>
        </w:rPr>
        <w:fldChar w:fldCharType="end"/>
      </w:r>
      <w:bookmarkEnd w:id="2"/>
      <w:r w:rsidRPr="00E15361">
        <w:rPr>
          <w:rFonts w:ascii="Trebuchet MS" w:eastAsia="Times New Roman" w:hAnsi="Trebuchet MS" w:cs="Times New Roman"/>
          <w:sz w:val="21"/>
          <w:szCs w:val="21"/>
          <w:lang w:val="en" w:eastAsia="en-IE" w:bidi="ne-NP"/>
        </w:rPr>
        <w:t xml:space="preserve"> National Action Plan for Social Inclusion 2007 – 2016.</w:t>
      </w:r>
    </w:p>
    <w:bookmarkStart w:id="3" w:name="_ftn2"/>
    <w:p w:rsidR="00E15361" w:rsidRPr="00E15361" w:rsidRDefault="00E15361" w:rsidP="00E15361">
      <w:pPr>
        <w:spacing w:before="150" w:after="150" w:line="360" w:lineRule="auto"/>
        <w:ind w:left="150" w:right="150"/>
        <w:rPr>
          <w:rFonts w:ascii="Trebuchet MS" w:eastAsia="Times New Roman" w:hAnsi="Trebuchet MS" w:cs="Times New Roman"/>
          <w:sz w:val="21"/>
          <w:szCs w:val="21"/>
          <w:lang w:val="en" w:eastAsia="en-IE" w:bidi="ne-NP"/>
        </w:rPr>
      </w:pPr>
      <w:r w:rsidRPr="00E15361">
        <w:rPr>
          <w:rFonts w:ascii="Trebuchet MS" w:eastAsia="Times New Roman" w:hAnsi="Trebuchet MS" w:cs="Times New Roman"/>
          <w:sz w:val="21"/>
          <w:szCs w:val="21"/>
          <w:lang w:val="en" w:eastAsia="en-IE" w:bidi="ne-NP"/>
        </w:rPr>
        <w:fldChar w:fldCharType="begin"/>
      </w:r>
      <w:r w:rsidRPr="00E15361">
        <w:rPr>
          <w:rFonts w:ascii="Trebuchet MS" w:eastAsia="Times New Roman" w:hAnsi="Trebuchet MS" w:cs="Times New Roman"/>
          <w:sz w:val="21"/>
          <w:szCs w:val="21"/>
          <w:lang w:val="en" w:eastAsia="en-IE" w:bidi="ne-NP"/>
        </w:rPr>
        <w:instrText xml:space="preserve"> HYPERLINK "file:///O:\\Events\\Budgets\\Submission%202014\\Budget%20Submission%202014.docx" \o "" </w:instrText>
      </w:r>
      <w:r w:rsidRPr="00E15361">
        <w:rPr>
          <w:rFonts w:ascii="Trebuchet MS" w:eastAsia="Times New Roman" w:hAnsi="Trebuchet MS" w:cs="Times New Roman"/>
          <w:sz w:val="21"/>
          <w:szCs w:val="21"/>
          <w:lang w:val="en" w:eastAsia="en-IE" w:bidi="ne-NP"/>
        </w:rPr>
        <w:fldChar w:fldCharType="separate"/>
      </w:r>
      <w:r w:rsidRPr="00E15361">
        <w:rPr>
          <w:rFonts w:ascii="Trebuchet MS" w:eastAsia="Times New Roman" w:hAnsi="Trebuchet MS" w:cs="Times New Roman"/>
          <w:color w:val="2D3744"/>
          <w:sz w:val="21"/>
          <w:szCs w:val="21"/>
          <w:u w:val="single"/>
          <w:lang w:val="en" w:eastAsia="en-IE" w:bidi="ne-NP"/>
        </w:rPr>
        <w:t>[2]</w:t>
      </w:r>
      <w:r w:rsidRPr="00E15361">
        <w:rPr>
          <w:rFonts w:ascii="Trebuchet MS" w:eastAsia="Times New Roman" w:hAnsi="Trebuchet MS" w:cs="Times New Roman"/>
          <w:sz w:val="21"/>
          <w:szCs w:val="21"/>
          <w:lang w:val="en" w:eastAsia="en-IE" w:bidi="ne-NP"/>
        </w:rPr>
        <w:fldChar w:fldCharType="end"/>
      </w:r>
      <w:bookmarkEnd w:id="3"/>
      <w:r w:rsidRPr="00E15361">
        <w:rPr>
          <w:rFonts w:ascii="Trebuchet MS" w:eastAsia="Times New Roman" w:hAnsi="Trebuchet MS" w:cs="Times New Roman"/>
          <w:sz w:val="21"/>
          <w:szCs w:val="21"/>
          <w:lang w:val="en" w:eastAsia="en-IE" w:bidi="ne-NP"/>
        </w:rPr>
        <w:t xml:space="preserve"> Leaders Debate on Prime Time, Tuesday </w:t>
      </w:r>
      <w:proofErr w:type="gramStart"/>
      <w:r w:rsidRPr="00E15361">
        <w:rPr>
          <w:rFonts w:ascii="Trebuchet MS" w:eastAsia="Times New Roman" w:hAnsi="Trebuchet MS" w:cs="Times New Roman"/>
          <w:sz w:val="21"/>
          <w:szCs w:val="21"/>
          <w:lang w:val="en" w:eastAsia="en-IE" w:bidi="ne-NP"/>
        </w:rPr>
        <w:t>22</w:t>
      </w:r>
      <w:r w:rsidRPr="00E15361">
        <w:rPr>
          <w:rFonts w:ascii="Trebuchet MS" w:eastAsia="Times New Roman" w:hAnsi="Trebuchet MS" w:cs="Times New Roman"/>
          <w:sz w:val="21"/>
          <w:szCs w:val="21"/>
          <w:vertAlign w:val="superscript"/>
          <w:lang w:val="en" w:eastAsia="en-IE" w:bidi="ne-NP"/>
        </w:rPr>
        <w:t>nd</w:t>
      </w:r>
      <w:proofErr w:type="gramEnd"/>
      <w:r w:rsidRPr="00E15361">
        <w:rPr>
          <w:rFonts w:ascii="Trebuchet MS" w:eastAsia="Times New Roman" w:hAnsi="Trebuchet MS" w:cs="Times New Roman"/>
          <w:sz w:val="21"/>
          <w:szCs w:val="21"/>
          <w:lang w:val="en" w:eastAsia="en-IE" w:bidi="ne-NP"/>
        </w:rPr>
        <w:t xml:space="preserve"> February 2011. Transcript available at: http://www.disability-federation.ie/index.php?uniqueID=10291</w:t>
      </w:r>
    </w:p>
    <w:p w:rsidR="00E15361" w:rsidRPr="00E15361" w:rsidRDefault="00E15361" w:rsidP="00E15361">
      <w:pPr>
        <w:spacing w:before="150" w:after="150" w:line="360" w:lineRule="auto"/>
        <w:ind w:left="150" w:right="150"/>
        <w:rPr>
          <w:rFonts w:ascii="Trebuchet MS" w:eastAsia="Times New Roman" w:hAnsi="Trebuchet MS" w:cs="Times New Roman"/>
          <w:sz w:val="21"/>
          <w:szCs w:val="21"/>
          <w:lang w:val="en" w:eastAsia="en-IE" w:bidi="ne-NP"/>
        </w:rPr>
      </w:pPr>
      <w:r w:rsidRPr="00E15361">
        <w:rPr>
          <w:rFonts w:ascii="Trebuchet MS" w:eastAsia="Times New Roman" w:hAnsi="Trebuchet MS" w:cs="Times New Roman"/>
          <w:sz w:val="21"/>
          <w:szCs w:val="21"/>
          <w:lang w:val="en" w:eastAsia="en-IE" w:bidi="ne-NP"/>
        </w:rPr>
        <w:t>  </w:t>
      </w:r>
    </w:p>
    <w:p w:rsidR="00E15361" w:rsidRPr="00E15361" w:rsidRDefault="00E15361" w:rsidP="00E15361">
      <w:pPr>
        <w:spacing w:before="150" w:after="150" w:line="360" w:lineRule="auto"/>
        <w:ind w:left="-567" w:right="150"/>
        <w:jc w:val="center"/>
        <w:rPr>
          <w:rFonts w:ascii="Trebuchet MS" w:eastAsia="Times New Roman" w:hAnsi="Trebuchet MS" w:cs="Times New Roman"/>
          <w:sz w:val="21"/>
          <w:szCs w:val="21"/>
          <w:lang w:val="en" w:eastAsia="en-IE" w:bidi="ne-NP"/>
        </w:rPr>
      </w:pPr>
      <w:proofErr w:type="gramStart"/>
      <w:r w:rsidRPr="00E15361">
        <w:rPr>
          <w:rFonts w:ascii="Trebuchet MS" w:eastAsia="Times New Roman" w:hAnsi="Trebuchet MS" w:cs="Times New Roman"/>
          <w:b/>
          <w:bCs/>
          <w:sz w:val="21"/>
          <w:szCs w:val="21"/>
          <w:lang w:val="en" w:eastAsia="en-IE" w:bidi="ne-NP"/>
        </w:rPr>
        <w:lastRenderedPageBreak/>
        <w:t>DISABILITY IN IRELAND: SOME FACTS AND FIGURES.</w:t>
      </w:r>
      <w:proofErr w:type="gramEnd"/>
      <w:r w:rsidRPr="00E15361">
        <w:rPr>
          <w:rFonts w:ascii="Trebuchet MS" w:eastAsia="Times New Roman" w:hAnsi="Trebuchet MS" w:cs="Times New Roman"/>
          <w:b/>
          <w:bCs/>
          <w:sz w:val="21"/>
          <w:szCs w:val="21"/>
          <w:lang w:val="en" w:eastAsia="en-IE" w:bidi="ne-NP"/>
        </w:rPr>
        <w:t xml:space="preserve"> </w:t>
      </w:r>
    </w:p>
    <w:p w:rsidR="00E15361" w:rsidRPr="00E15361" w:rsidRDefault="00E15361" w:rsidP="00E15361">
      <w:pPr>
        <w:spacing w:before="150" w:after="150" w:line="360" w:lineRule="auto"/>
        <w:ind w:left="-567" w:right="150"/>
        <w:jc w:val="center"/>
        <w:rPr>
          <w:rFonts w:ascii="Trebuchet MS" w:eastAsia="Times New Roman" w:hAnsi="Trebuchet MS" w:cs="Times New Roman"/>
          <w:sz w:val="21"/>
          <w:szCs w:val="21"/>
          <w:lang w:val="en" w:eastAsia="en-IE" w:bidi="ne-NP"/>
        </w:rPr>
      </w:pPr>
      <w:r w:rsidRPr="00E15361">
        <w:rPr>
          <w:rFonts w:ascii="Trebuchet MS" w:eastAsia="Times New Roman" w:hAnsi="Trebuchet MS" w:cs="Times New Roman"/>
          <w:b/>
          <w:bCs/>
          <w:sz w:val="21"/>
          <w:szCs w:val="21"/>
          <w:lang w:val="en" w:eastAsia="en-IE" w:bidi="ne-NP"/>
        </w:rPr>
        <w:t>(Updated June 2013)</w:t>
      </w:r>
      <w:r w:rsidRPr="00E15361">
        <w:rPr>
          <w:rFonts w:ascii="Trebuchet MS" w:eastAsia="Times New Roman" w:hAnsi="Trebuchet MS" w:cs="Times New Roman"/>
          <w:sz w:val="21"/>
          <w:szCs w:val="21"/>
          <w:lang w:val="en" w:eastAsia="en-IE" w:bidi="ne-NP"/>
        </w:rPr>
        <w:t>  </w:t>
      </w:r>
    </w:p>
    <w:tbl>
      <w:tblPr>
        <w:tblW w:w="4850" w:type="pct"/>
        <w:tblCellSpacing w:w="0" w:type="dxa"/>
        <w:tblInd w:w="150" w:type="dxa"/>
        <w:tblBorders>
          <w:top w:val="single" w:sz="12" w:space="0" w:color="990000"/>
          <w:left w:val="single" w:sz="12" w:space="0" w:color="990000"/>
          <w:bottom w:val="single" w:sz="12" w:space="0" w:color="990000"/>
          <w:right w:val="single" w:sz="12" w:space="0" w:color="990000"/>
        </w:tblBorders>
        <w:tblCellMar>
          <w:left w:w="0" w:type="dxa"/>
          <w:right w:w="0" w:type="dxa"/>
        </w:tblCellMar>
        <w:tblLook w:val="04A0" w:firstRow="1" w:lastRow="0" w:firstColumn="1" w:lastColumn="0" w:noHBand="0" w:noVBand="1"/>
      </w:tblPr>
      <w:tblGrid>
        <w:gridCol w:w="8784"/>
      </w:tblGrid>
      <w:tr w:rsidR="00E15361" w:rsidRPr="00E15361" w:rsidTr="00E15361">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15361" w:rsidRPr="00E15361" w:rsidRDefault="00E15361" w:rsidP="00E15361">
            <w:pPr>
              <w:spacing w:before="150" w:after="150" w:line="360" w:lineRule="auto"/>
              <w:ind w:left="150" w:right="150"/>
              <w:rPr>
                <w:rFonts w:ascii="Trebuchet MS" w:eastAsia="Times New Roman" w:hAnsi="Trebuchet MS" w:cs="Times New Roman"/>
                <w:sz w:val="19"/>
                <w:szCs w:val="19"/>
                <w:lang w:eastAsia="en-IE" w:bidi="ne-NP"/>
              </w:rPr>
            </w:pPr>
            <w:r w:rsidRPr="00E15361">
              <w:rPr>
                <w:rFonts w:ascii="Trebuchet MS" w:eastAsia="Times New Roman" w:hAnsi="Trebuchet MS" w:cs="Times New Roman"/>
                <w:b/>
                <w:bCs/>
                <w:sz w:val="19"/>
                <w:szCs w:val="19"/>
                <w:lang w:eastAsia="en-IE" w:bidi="ne-NP"/>
              </w:rPr>
              <w:t>Disability happens more than you imagine:</w:t>
            </w:r>
          </w:p>
          <w:p w:rsidR="00E15361" w:rsidRPr="00E15361" w:rsidRDefault="00E15361" w:rsidP="00E15361">
            <w:pPr>
              <w:numPr>
                <w:ilvl w:val="0"/>
                <w:numId w:val="2"/>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proofErr w:type="gramStart"/>
            <w:r w:rsidRPr="00E15361">
              <w:rPr>
                <w:rFonts w:ascii="Trebuchet MS" w:eastAsia="Times New Roman" w:hAnsi="Trebuchet MS" w:cs="Times New Roman"/>
                <w:sz w:val="20"/>
                <w:szCs w:val="20"/>
                <w:lang w:eastAsia="en-IE" w:bidi="ne-NP"/>
              </w:rPr>
              <w:t>595,355</w:t>
            </w:r>
            <w:proofErr w:type="gramEnd"/>
            <w:r w:rsidRPr="00E15361">
              <w:rPr>
                <w:rFonts w:ascii="Trebuchet MS" w:eastAsia="Times New Roman" w:hAnsi="Trebuchet MS" w:cs="Times New Roman"/>
                <w:sz w:val="20"/>
                <w:szCs w:val="20"/>
                <w:lang w:eastAsia="en-IE" w:bidi="ne-NP"/>
              </w:rPr>
              <w:t xml:space="preserve"> people reported having a disability in Census 2011, equivalent to 13% of the population of Ireland.</w:t>
            </w:r>
          </w:p>
          <w:p w:rsidR="00E15361" w:rsidRPr="00E15361" w:rsidRDefault="00E15361" w:rsidP="00E15361">
            <w:pPr>
              <w:numPr>
                <w:ilvl w:val="0"/>
                <w:numId w:val="2"/>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However, the National Disability Survey (2006) which uses a broader definition of disability and chronic illness recorded a disability rate of 18%, comparable to other developed countries.</w:t>
            </w:r>
          </w:p>
          <w:p w:rsidR="00E15361" w:rsidRPr="00E15361" w:rsidRDefault="00E15361" w:rsidP="00E15361">
            <w:pPr>
              <w:numPr>
                <w:ilvl w:val="0"/>
                <w:numId w:val="2"/>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At least 1 in 10 adults of working age have a disability (15-64 years</w:t>
            </w:r>
            <w:proofErr w:type="gramStart"/>
            <w:r w:rsidRPr="00E15361">
              <w:rPr>
                <w:rFonts w:ascii="Trebuchet MS" w:eastAsia="Times New Roman" w:hAnsi="Trebuchet MS" w:cs="Times New Roman"/>
                <w:sz w:val="20"/>
                <w:szCs w:val="20"/>
                <w:lang w:eastAsia="en-IE" w:bidi="ne-NP"/>
              </w:rPr>
              <w:t>)[</w:t>
            </w:r>
            <w:proofErr w:type="gramEnd"/>
            <w:r w:rsidRPr="00E15361">
              <w:rPr>
                <w:rFonts w:ascii="Trebuchet MS" w:eastAsia="Times New Roman" w:hAnsi="Trebuchet MS" w:cs="Times New Roman"/>
                <w:sz w:val="20"/>
                <w:szCs w:val="20"/>
                <w:lang w:eastAsia="en-IE" w:bidi="ne-NP"/>
              </w:rPr>
              <w:t>1].</w:t>
            </w:r>
          </w:p>
          <w:p w:rsidR="00E15361" w:rsidRPr="00E15361" w:rsidRDefault="00E15361" w:rsidP="00E15361">
            <w:pPr>
              <w:numPr>
                <w:ilvl w:val="0"/>
                <w:numId w:val="2"/>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Disability is age-related and increases sharply with age. Just 5% of children between 0-14 years have a disability compared to 38% of adults over 65 years (Census 2011).</w:t>
            </w:r>
          </w:p>
          <w:p w:rsidR="00E15361" w:rsidRPr="00E15361" w:rsidRDefault="00E15361" w:rsidP="00E15361">
            <w:pPr>
              <w:numPr>
                <w:ilvl w:val="0"/>
                <w:numId w:val="2"/>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Approximately 4,000 people with disabilities still live in institutions or psychiatric hospitals. </w:t>
            </w:r>
          </w:p>
        </w:tc>
      </w:tr>
    </w:tbl>
    <w:p w:rsidR="00E15361" w:rsidRPr="00E15361" w:rsidRDefault="00E15361" w:rsidP="00E15361">
      <w:pPr>
        <w:spacing w:after="150" w:line="360" w:lineRule="auto"/>
        <w:rPr>
          <w:rFonts w:ascii="Trebuchet MS" w:eastAsia="Times New Roman" w:hAnsi="Trebuchet MS" w:cs="Times New Roman"/>
          <w:vanish/>
          <w:lang w:val="en" w:eastAsia="en-IE" w:bidi="ne-NP"/>
        </w:rPr>
      </w:pPr>
    </w:p>
    <w:tbl>
      <w:tblPr>
        <w:tblW w:w="4850" w:type="pct"/>
        <w:tblCellSpacing w:w="0" w:type="dxa"/>
        <w:tblInd w:w="150" w:type="dxa"/>
        <w:tblBorders>
          <w:top w:val="single" w:sz="12" w:space="0" w:color="990000"/>
          <w:left w:val="single" w:sz="12" w:space="0" w:color="990000"/>
          <w:bottom w:val="single" w:sz="12" w:space="0" w:color="990000"/>
          <w:right w:val="single" w:sz="12" w:space="0" w:color="990000"/>
        </w:tblBorders>
        <w:tblCellMar>
          <w:left w:w="0" w:type="dxa"/>
          <w:right w:w="0" w:type="dxa"/>
        </w:tblCellMar>
        <w:tblLook w:val="04A0" w:firstRow="1" w:lastRow="0" w:firstColumn="1" w:lastColumn="0" w:noHBand="0" w:noVBand="1"/>
      </w:tblPr>
      <w:tblGrid>
        <w:gridCol w:w="8784"/>
      </w:tblGrid>
      <w:tr w:rsidR="00E15361" w:rsidRPr="00E15361" w:rsidTr="00E15361">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15361" w:rsidRPr="00E15361" w:rsidRDefault="00E15361" w:rsidP="00E15361">
            <w:pPr>
              <w:spacing w:before="150" w:after="150" w:line="360" w:lineRule="auto"/>
              <w:ind w:left="150" w:right="150"/>
              <w:rPr>
                <w:rFonts w:ascii="Trebuchet MS" w:eastAsia="Times New Roman" w:hAnsi="Trebuchet MS" w:cs="Times New Roman"/>
                <w:sz w:val="19"/>
                <w:szCs w:val="19"/>
                <w:lang w:eastAsia="en-IE" w:bidi="ne-NP"/>
              </w:rPr>
            </w:pPr>
            <w:r w:rsidRPr="00E15361">
              <w:rPr>
                <w:rFonts w:ascii="Trebuchet MS" w:eastAsia="Times New Roman" w:hAnsi="Trebuchet MS" w:cs="Times New Roman"/>
                <w:b/>
                <w:bCs/>
                <w:sz w:val="19"/>
                <w:szCs w:val="19"/>
                <w:lang w:eastAsia="en-IE" w:bidi="ne-NP"/>
              </w:rPr>
              <w:t>People with Disabilities are more likely to experience poverty</w:t>
            </w:r>
            <w:r w:rsidRPr="00E15361">
              <w:rPr>
                <w:rFonts w:ascii="Trebuchet MS" w:eastAsia="Times New Roman" w:hAnsi="Trebuchet MS" w:cs="Times New Roman"/>
                <w:sz w:val="19"/>
                <w:szCs w:val="19"/>
                <w:lang w:eastAsia="en-IE" w:bidi="ne-NP"/>
              </w:rPr>
              <w:t>2:</w:t>
            </w:r>
          </w:p>
          <w:p w:rsidR="00E15361" w:rsidRPr="00E15361" w:rsidRDefault="00E15361" w:rsidP="00E15361">
            <w:pPr>
              <w:numPr>
                <w:ilvl w:val="0"/>
                <w:numId w:val="3"/>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proofErr w:type="gramStart"/>
            <w:r w:rsidRPr="00E15361">
              <w:rPr>
                <w:rFonts w:ascii="Trebuchet MS" w:eastAsia="Times New Roman" w:hAnsi="Trebuchet MS" w:cs="Times New Roman"/>
                <w:sz w:val="20"/>
                <w:szCs w:val="20"/>
                <w:lang w:eastAsia="en-IE" w:bidi="ne-NP"/>
              </w:rPr>
              <w:t>Families where the head of the household was not at work due to illness or disability had the lowest average annual disposable income in 2011.</w:t>
            </w:r>
            <w:proofErr w:type="gramEnd"/>
            <w:r w:rsidRPr="00E15361">
              <w:rPr>
                <w:rFonts w:ascii="Trebuchet MS" w:eastAsia="Times New Roman" w:hAnsi="Trebuchet MS" w:cs="Times New Roman"/>
                <w:sz w:val="20"/>
                <w:szCs w:val="20"/>
                <w:lang w:eastAsia="en-IE" w:bidi="ne-NP"/>
              </w:rPr>
              <w:t xml:space="preserve"> This was €22,089 compared to €54,053 for those at work.</w:t>
            </w:r>
          </w:p>
          <w:p w:rsidR="00E15361" w:rsidRPr="00E15361" w:rsidRDefault="00E15361" w:rsidP="00E15361">
            <w:pPr>
              <w:numPr>
                <w:ilvl w:val="0"/>
                <w:numId w:val="3"/>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Disabled people are twice as likely to live below the poverty line as the rest of the population.</w:t>
            </w:r>
          </w:p>
          <w:p w:rsidR="00E15361" w:rsidRPr="00E15361" w:rsidRDefault="00E15361" w:rsidP="00E15361">
            <w:pPr>
              <w:numPr>
                <w:ilvl w:val="0"/>
                <w:numId w:val="3"/>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Disabled people experience high levels of consistent poverty (11% compared to 2% of those at work). This means that they have a low income and have difficulty with basic provision such as a meal with meat or fish every second day or the ability to have adequate heating.</w:t>
            </w:r>
          </w:p>
          <w:p w:rsidR="00E15361" w:rsidRPr="00E15361" w:rsidRDefault="00E15361" w:rsidP="00E15361">
            <w:pPr>
              <w:numPr>
                <w:ilvl w:val="0"/>
                <w:numId w:val="3"/>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 xml:space="preserve">Additional costs of disability such as health care, assistance, aids and devices </w:t>
            </w:r>
            <w:proofErr w:type="gramStart"/>
            <w:r w:rsidRPr="00E15361">
              <w:rPr>
                <w:rFonts w:ascii="Trebuchet MS" w:eastAsia="Times New Roman" w:hAnsi="Trebuchet MS" w:cs="Times New Roman"/>
                <w:sz w:val="20"/>
                <w:szCs w:val="20"/>
                <w:lang w:eastAsia="en-IE" w:bidi="ne-NP"/>
              </w:rPr>
              <w:t>have been estimated</w:t>
            </w:r>
            <w:proofErr w:type="gramEnd"/>
            <w:r w:rsidRPr="00E15361">
              <w:rPr>
                <w:rFonts w:ascii="Trebuchet MS" w:eastAsia="Times New Roman" w:hAnsi="Trebuchet MS" w:cs="Times New Roman"/>
                <w:sz w:val="20"/>
                <w:szCs w:val="20"/>
                <w:lang w:eastAsia="en-IE" w:bidi="ne-NP"/>
              </w:rPr>
              <w:t xml:space="preserve"> to be a third of average weekly income3.                   </w:t>
            </w:r>
          </w:p>
          <w:p w:rsidR="00E15361" w:rsidRPr="00E15361" w:rsidRDefault="00E15361" w:rsidP="00E15361">
            <w:pPr>
              <w:spacing w:before="150" w:after="150" w:line="360" w:lineRule="auto"/>
              <w:ind w:left="66" w:right="150"/>
              <w:rPr>
                <w:rFonts w:ascii="Trebuchet MS" w:eastAsia="Times New Roman" w:hAnsi="Trebuchet MS" w:cs="Times New Roman"/>
                <w:sz w:val="19"/>
                <w:szCs w:val="19"/>
                <w:lang w:eastAsia="en-IE" w:bidi="ne-NP"/>
              </w:rPr>
            </w:pPr>
            <w:r w:rsidRPr="00E15361">
              <w:rPr>
                <w:rFonts w:ascii="Trebuchet MS" w:eastAsia="Times New Roman" w:hAnsi="Trebuchet MS" w:cs="Times New Roman"/>
                <w:sz w:val="19"/>
                <w:szCs w:val="19"/>
                <w:lang w:eastAsia="en-IE" w:bidi="ne-NP"/>
              </w:rPr>
              <w:t> </w:t>
            </w:r>
          </w:p>
        </w:tc>
      </w:tr>
    </w:tbl>
    <w:p w:rsidR="00E15361" w:rsidRPr="00E15361" w:rsidRDefault="00E15361" w:rsidP="00E15361">
      <w:pPr>
        <w:spacing w:after="150" w:line="360" w:lineRule="auto"/>
        <w:rPr>
          <w:rFonts w:ascii="Trebuchet MS" w:eastAsia="Times New Roman" w:hAnsi="Trebuchet MS" w:cs="Times New Roman"/>
          <w:vanish/>
          <w:lang w:val="en" w:eastAsia="en-IE" w:bidi="ne-NP"/>
        </w:rPr>
      </w:pPr>
    </w:p>
    <w:tbl>
      <w:tblPr>
        <w:tblW w:w="4850" w:type="pct"/>
        <w:tblCellSpacing w:w="0" w:type="dxa"/>
        <w:tblInd w:w="150" w:type="dxa"/>
        <w:tblBorders>
          <w:top w:val="single" w:sz="12" w:space="0" w:color="990000"/>
          <w:left w:val="single" w:sz="12" w:space="0" w:color="990000"/>
          <w:bottom w:val="single" w:sz="12" w:space="0" w:color="990000"/>
          <w:right w:val="single" w:sz="12" w:space="0" w:color="990000"/>
        </w:tblBorders>
        <w:tblCellMar>
          <w:left w:w="0" w:type="dxa"/>
          <w:right w:w="0" w:type="dxa"/>
        </w:tblCellMar>
        <w:tblLook w:val="04A0" w:firstRow="1" w:lastRow="0" w:firstColumn="1" w:lastColumn="0" w:noHBand="0" w:noVBand="1"/>
      </w:tblPr>
      <w:tblGrid>
        <w:gridCol w:w="8784"/>
      </w:tblGrid>
      <w:tr w:rsidR="00E15361" w:rsidRPr="00E15361" w:rsidTr="00E15361">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15361" w:rsidRPr="00E15361" w:rsidRDefault="00E15361" w:rsidP="00E15361">
            <w:pPr>
              <w:spacing w:before="150" w:after="150" w:line="360" w:lineRule="auto"/>
              <w:ind w:left="150" w:right="150"/>
              <w:rPr>
                <w:rFonts w:ascii="Trebuchet MS" w:eastAsia="Times New Roman" w:hAnsi="Trebuchet MS" w:cs="Times New Roman"/>
                <w:sz w:val="19"/>
                <w:szCs w:val="19"/>
                <w:lang w:eastAsia="en-IE" w:bidi="ne-NP"/>
              </w:rPr>
            </w:pPr>
            <w:r w:rsidRPr="00E15361">
              <w:rPr>
                <w:rFonts w:ascii="Trebuchet MS" w:eastAsia="Times New Roman" w:hAnsi="Trebuchet MS" w:cs="Times New Roman"/>
                <w:b/>
                <w:bCs/>
                <w:sz w:val="19"/>
                <w:szCs w:val="19"/>
                <w:lang w:eastAsia="en-IE" w:bidi="ne-NP"/>
              </w:rPr>
              <w:t>People with Disabilities have poorer educational outcomes</w:t>
            </w:r>
            <w:r w:rsidRPr="00E15361">
              <w:rPr>
                <w:rFonts w:ascii="Trebuchet MS" w:eastAsia="Times New Roman" w:hAnsi="Trebuchet MS" w:cs="Times New Roman"/>
                <w:sz w:val="19"/>
                <w:szCs w:val="19"/>
                <w:lang w:eastAsia="en-IE" w:bidi="ne-NP"/>
              </w:rPr>
              <w:t>4:</w:t>
            </w:r>
          </w:p>
          <w:p w:rsidR="00E15361" w:rsidRPr="00E15361" w:rsidRDefault="00E15361" w:rsidP="00E15361">
            <w:pPr>
              <w:numPr>
                <w:ilvl w:val="0"/>
                <w:numId w:val="4"/>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Among people with disabilities, 43% have not progressed beyond primary education. This compares to 19% of all adults.</w:t>
            </w:r>
          </w:p>
          <w:p w:rsidR="00E15361" w:rsidRPr="00E15361" w:rsidRDefault="00E15361" w:rsidP="00E15361">
            <w:pPr>
              <w:numPr>
                <w:ilvl w:val="0"/>
                <w:numId w:val="4"/>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Over one third of young adults (25 to 29 years) with a disability left school before completing second level compared to one in six of young adults with no disability.</w:t>
            </w:r>
          </w:p>
          <w:p w:rsidR="00E15361" w:rsidRPr="00E15361" w:rsidRDefault="00E15361" w:rsidP="00E15361">
            <w:pPr>
              <w:numPr>
                <w:ilvl w:val="0"/>
                <w:numId w:val="4"/>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 xml:space="preserve">About one third of people with disabilities </w:t>
            </w:r>
            <w:proofErr w:type="gramStart"/>
            <w:r w:rsidRPr="00E15361">
              <w:rPr>
                <w:rFonts w:ascii="Trebuchet MS" w:eastAsia="Times New Roman" w:hAnsi="Trebuchet MS" w:cs="Times New Roman"/>
                <w:sz w:val="20"/>
                <w:szCs w:val="20"/>
                <w:lang w:eastAsia="en-IE" w:bidi="ne-NP"/>
              </w:rPr>
              <w:t>have been found</w:t>
            </w:r>
            <w:proofErr w:type="gramEnd"/>
            <w:r w:rsidRPr="00E15361">
              <w:rPr>
                <w:rFonts w:ascii="Trebuchet MS" w:eastAsia="Times New Roman" w:hAnsi="Trebuchet MS" w:cs="Times New Roman"/>
                <w:sz w:val="20"/>
                <w:szCs w:val="20"/>
                <w:lang w:eastAsia="en-IE" w:bidi="ne-NP"/>
              </w:rPr>
              <w:t xml:space="preserve"> to leave education before </w:t>
            </w:r>
            <w:r w:rsidRPr="00E15361">
              <w:rPr>
                <w:rFonts w:ascii="Trebuchet MS" w:eastAsia="Times New Roman" w:hAnsi="Trebuchet MS" w:cs="Times New Roman"/>
                <w:sz w:val="20"/>
                <w:szCs w:val="20"/>
                <w:lang w:eastAsia="en-IE" w:bidi="ne-NP"/>
              </w:rPr>
              <w:lastRenderedPageBreak/>
              <w:t>they intended because of their disability.</w:t>
            </w:r>
          </w:p>
        </w:tc>
      </w:tr>
    </w:tbl>
    <w:p w:rsidR="00E15361" w:rsidRPr="00E15361" w:rsidRDefault="00E15361" w:rsidP="00E15361">
      <w:pPr>
        <w:spacing w:after="150" w:line="360" w:lineRule="auto"/>
        <w:rPr>
          <w:rFonts w:ascii="Trebuchet MS" w:eastAsia="Times New Roman" w:hAnsi="Trebuchet MS" w:cs="Times New Roman"/>
          <w:vanish/>
          <w:lang w:val="en" w:eastAsia="en-IE" w:bidi="ne-NP"/>
        </w:rPr>
      </w:pPr>
    </w:p>
    <w:tbl>
      <w:tblPr>
        <w:tblW w:w="4850" w:type="pct"/>
        <w:tblCellSpacing w:w="0" w:type="dxa"/>
        <w:tblInd w:w="150" w:type="dxa"/>
        <w:tblBorders>
          <w:top w:val="single" w:sz="12" w:space="0" w:color="990000"/>
          <w:left w:val="single" w:sz="12" w:space="0" w:color="990000"/>
          <w:bottom w:val="single" w:sz="12" w:space="0" w:color="990000"/>
          <w:right w:val="single" w:sz="12" w:space="0" w:color="990000"/>
        </w:tblBorders>
        <w:tblCellMar>
          <w:left w:w="0" w:type="dxa"/>
          <w:right w:w="0" w:type="dxa"/>
        </w:tblCellMar>
        <w:tblLook w:val="04A0" w:firstRow="1" w:lastRow="0" w:firstColumn="1" w:lastColumn="0" w:noHBand="0" w:noVBand="1"/>
      </w:tblPr>
      <w:tblGrid>
        <w:gridCol w:w="8784"/>
      </w:tblGrid>
      <w:tr w:rsidR="00E15361" w:rsidRPr="00E15361" w:rsidTr="00E15361">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15361" w:rsidRPr="00E15361" w:rsidRDefault="00E15361" w:rsidP="00E15361">
            <w:pPr>
              <w:spacing w:before="150" w:after="150" w:line="360" w:lineRule="auto"/>
              <w:ind w:left="150" w:right="150"/>
              <w:rPr>
                <w:rFonts w:ascii="Trebuchet MS" w:eastAsia="Times New Roman" w:hAnsi="Trebuchet MS" w:cs="Times New Roman"/>
                <w:sz w:val="19"/>
                <w:szCs w:val="19"/>
                <w:lang w:eastAsia="en-IE" w:bidi="ne-NP"/>
              </w:rPr>
            </w:pPr>
            <w:r w:rsidRPr="00E15361">
              <w:rPr>
                <w:rFonts w:ascii="Trebuchet MS" w:eastAsia="Times New Roman" w:hAnsi="Trebuchet MS" w:cs="Times New Roman"/>
                <w:b/>
                <w:bCs/>
                <w:sz w:val="19"/>
                <w:szCs w:val="19"/>
                <w:lang w:eastAsia="en-IE" w:bidi="ne-NP"/>
              </w:rPr>
              <w:t>Disability affects a person’s employment opportunities:</w:t>
            </w:r>
          </w:p>
          <w:p w:rsidR="00E15361" w:rsidRPr="00E15361" w:rsidRDefault="00E15361" w:rsidP="00E15361">
            <w:pPr>
              <w:numPr>
                <w:ilvl w:val="0"/>
                <w:numId w:val="5"/>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Of people with disabilities, 20% were at work compared to 50% for the overall population (Census, 2011).</w:t>
            </w:r>
          </w:p>
          <w:p w:rsidR="00E15361" w:rsidRPr="00E15361" w:rsidRDefault="00E15361" w:rsidP="00E15361">
            <w:pPr>
              <w:numPr>
                <w:ilvl w:val="0"/>
                <w:numId w:val="5"/>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However, over one third of people with disabilities, and almost two thirds of younger people in the 18-34 age groups would like to work if the circumstances were right</w:t>
            </w:r>
            <w:r w:rsidRPr="00E15361">
              <w:rPr>
                <w:rFonts w:ascii="Trebuchet MS" w:eastAsia="Times New Roman" w:hAnsi="Trebuchet MS" w:cs="Times New Roman"/>
                <w:sz w:val="20"/>
                <w:szCs w:val="20"/>
                <w:vertAlign w:val="superscript"/>
                <w:lang w:eastAsia="en-IE" w:bidi="ne-NP"/>
              </w:rPr>
              <w:t xml:space="preserve">4 </w:t>
            </w:r>
          </w:p>
          <w:p w:rsidR="00E15361" w:rsidRPr="00E15361" w:rsidRDefault="00E15361" w:rsidP="00E15361">
            <w:pPr>
              <w:numPr>
                <w:ilvl w:val="0"/>
                <w:numId w:val="5"/>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The unemployment rate amongst disabled people was almost 31% compared with 19% for the overall population (Census, 2011).</w:t>
            </w:r>
          </w:p>
          <w:p w:rsidR="00E15361" w:rsidRPr="00E15361" w:rsidRDefault="00E15361" w:rsidP="00E15361">
            <w:pPr>
              <w:spacing w:before="150" w:after="150" w:line="360" w:lineRule="auto"/>
              <w:ind w:left="284" w:right="150"/>
              <w:rPr>
                <w:rFonts w:ascii="Trebuchet MS" w:eastAsia="Times New Roman" w:hAnsi="Trebuchet MS" w:cs="Times New Roman"/>
                <w:sz w:val="19"/>
                <w:szCs w:val="19"/>
                <w:lang w:eastAsia="en-IE" w:bidi="ne-NP"/>
              </w:rPr>
            </w:pPr>
            <w:r w:rsidRPr="00E15361">
              <w:rPr>
                <w:rFonts w:ascii="Trebuchet MS" w:eastAsia="Times New Roman" w:hAnsi="Trebuchet MS" w:cs="Times New Roman"/>
                <w:sz w:val="19"/>
                <w:szCs w:val="19"/>
                <w:lang w:eastAsia="en-IE" w:bidi="ne-NP"/>
              </w:rPr>
              <w:t> </w:t>
            </w:r>
          </w:p>
        </w:tc>
      </w:tr>
    </w:tbl>
    <w:p w:rsidR="00E15361" w:rsidRPr="00E15361" w:rsidRDefault="00E15361" w:rsidP="00E15361">
      <w:pPr>
        <w:spacing w:before="150" w:after="150" w:line="360" w:lineRule="auto"/>
        <w:ind w:left="150" w:right="150"/>
        <w:rPr>
          <w:rFonts w:ascii="Trebuchet MS" w:eastAsia="Times New Roman" w:hAnsi="Trebuchet MS" w:cs="Times New Roman"/>
          <w:sz w:val="21"/>
          <w:szCs w:val="21"/>
          <w:lang w:val="en" w:eastAsia="en-IE" w:bidi="ne-NP"/>
        </w:rPr>
      </w:pPr>
      <w:r w:rsidRPr="00E15361">
        <w:rPr>
          <w:rFonts w:ascii="Trebuchet MS" w:eastAsia="Times New Roman" w:hAnsi="Trebuchet MS" w:cs="Times New Roman"/>
          <w:sz w:val="21"/>
          <w:szCs w:val="21"/>
          <w:lang w:val="en" w:eastAsia="en-IE" w:bidi="ne-NP"/>
        </w:rPr>
        <w:t>   </w:t>
      </w:r>
    </w:p>
    <w:p w:rsidR="00E15361" w:rsidRPr="00E15361" w:rsidRDefault="00E15361" w:rsidP="00E15361">
      <w:pPr>
        <w:numPr>
          <w:ilvl w:val="0"/>
          <w:numId w:val="6"/>
        </w:numPr>
        <w:spacing w:before="100" w:beforeAutospacing="1" w:after="100" w:afterAutospacing="1" w:line="360" w:lineRule="auto"/>
        <w:rPr>
          <w:rFonts w:ascii="Trebuchet MS" w:eastAsia="Times New Roman" w:hAnsi="Trebuchet MS" w:cs="Times New Roman"/>
          <w:lang w:val="en" w:eastAsia="en-IE" w:bidi="ne-NP"/>
        </w:rPr>
      </w:pPr>
      <w:proofErr w:type="gramStart"/>
      <w:r w:rsidRPr="00E15361">
        <w:rPr>
          <w:rFonts w:ascii="Trebuchet MS" w:eastAsia="Times New Roman" w:hAnsi="Trebuchet MS" w:cs="Times New Roman"/>
          <w:lang w:val="en" w:eastAsia="en-IE" w:bidi="ne-NP"/>
        </w:rPr>
        <w:t xml:space="preserve">Census 2011, Small Area Population Statistics </w:t>
      </w:r>
      <w:hyperlink r:id="rId8" w:history="1">
        <w:r w:rsidRPr="00E15361">
          <w:rPr>
            <w:rFonts w:ascii="Trebuchet MS" w:eastAsia="Times New Roman" w:hAnsi="Trebuchet MS" w:cs="Times New Roman"/>
            <w:color w:val="2D3744"/>
            <w:u w:val="single"/>
            <w:lang w:val="en" w:eastAsia="en-IE" w:bidi="ne-NP"/>
          </w:rPr>
          <w:t>www.cso.ie</w:t>
        </w:r>
      </w:hyperlink>
      <w:r w:rsidRPr="00E15361">
        <w:rPr>
          <w:rFonts w:ascii="Trebuchet MS" w:eastAsia="Times New Roman" w:hAnsi="Trebuchet MS" w:cs="Times New Roman"/>
          <w:lang w:val="en" w:eastAsia="en-IE" w:bidi="ne-NP"/>
        </w:rPr>
        <w:t>.</w:t>
      </w:r>
      <w:proofErr w:type="gramEnd"/>
    </w:p>
    <w:p w:rsidR="00E15361" w:rsidRPr="00E15361" w:rsidRDefault="00E15361" w:rsidP="00E15361">
      <w:pPr>
        <w:numPr>
          <w:ilvl w:val="0"/>
          <w:numId w:val="6"/>
        </w:numPr>
        <w:spacing w:before="100" w:beforeAutospacing="1" w:after="100" w:afterAutospacing="1" w:line="360" w:lineRule="auto"/>
        <w:rPr>
          <w:rFonts w:ascii="Trebuchet MS" w:eastAsia="Times New Roman" w:hAnsi="Trebuchet MS" w:cs="Times New Roman"/>
          <w:lang w:val="en" w:eastAsia="en-IE" w:bidi="ne-NP"/>
        </w:rPr>
      </w:pPr>
      <w:proofErr w:type="gramStart"/>
      <w:r w:rsidRPr="00E15361">
        <w:rPr>
          <w:rFonts w:ascii="Trebuchet MS" w:eastAsia="Times New Roman" w:hAnsi="Trebuchet MS" w:cs="Times New Roman"/>
          <w:lang w:val="en" w:eastAsia="en-IE" w:bidi="ne-NP"/>
        </w:rPr>
        <w:t>CSO (2013) Survey on Income and Living Conditions.</w:t>
      </w:r>
      <w:proofErr w:type="gramEnd"/>
      <w:r w:rsidRPr="00E15361">
        <w:rPr>
          <w:rFonts w:ascii="Trebuchet MS" w:eastAsia="Times New Roman" w:hAnsi="Trebuchet MS" w:cs="Times New Roman"/>
          <w:lang w:val="en" w:eastAsia="en-IE" w:bidi="ne-NP"/>
        </w:rPr>
        <w:t xml:space="preserve"> http://www.cso.ie</w:t>
      </w:r>
    </w:p>
    <w:p w:rsidR="00E15361" w:rsidRPr="00E15361" w:rsidRDefault="00E15361" w:rsidP="00E15361">
      <w:pPr>
        <w:numPr>
          <w:ilvl w:val="0"/>
          <w:numId w:val="6"/>
        </w:numPr>
        <w:spacing w:before="100" w:beforeAutospacing="1" w:after="100" w:afterAutospacing="1" w:line="360" w:lineRule="auto"/>
        <w:rPr>
          <w:rFonts w:ascii="Trebuchet MS" w:eastAsia="Times New Roman" w:hAnsi="Trebuchet MS" w:cs="Times New Roman"/>
          <w:lang w:val="en" w:eastAsia="en-IE" w:bidi="ne-NP"/>
        </w:rPr>
      </w:pPr>
      <w:proofErr w:type="spellStart"/>
      <w:r w:rsidRPr="00E15361">
        <w:rPr>
          <w:rFonts w:ascii="Trebuchet MS" w:eastAsia="Times New Roman" w:hAnsi="Trebuchet MS" w:cs="Times New Roman"/>
          <w:lang w:val="en" w:eastAsia="en-IE" w:bidi="ne-NP"/>
        </w:rPr>
        <w:t>Cullinan</w:t>
      </w:r>
      <w:proofErr w:type="spellEnd"/>
      <w:r w:rsidRPr="00E15361">
        <w:rPr>
          <w:rFonts w:ascii="Trebuchet MS" w:eastAsia="Times New Roman" w:hAnsi="Trebuchet MS" w:cs="Times New Roman"/>
          <w:lang w:val="en" w:eastAsia="en-IE" w:bidi="ne-NP"/>
        </w:rPr>
        <w:t>, J., Gannon, B. and Lyons, S. (2010) ‘Estimating the Extra Cost of Living for People with Disabilities’, Health Economics.</w:t>
      </w:r>
    </w:p>
    <w:p w:rsidR="00E15361" w:rsidRPr="00E15361" w:rsidRDefault="00E15361" w:rsidP="00E15361">
      <w:pPr>
        <w:numPr>
          <w:ilvl w:val="0"/>
          <w:numId w:val="6"/>
        </w:numPr>
        <w:spacing w:before="100" w:beforeAutospacing="1" w:after="100" w:afterAutospacing="1" w:line="360" w:lineRule="auto"/>
        <w:rPr>
          <w:rFonts w:ascii="Trebuchet MS" w:eastAsia="Times New Roman" w:hAnsi="Trebuchet MS" w:cs="Times New Roman"/>
          <w:lang w:val="en" w:eastAsia="en-IE" w:bidi="ne-NP"/>
        </w:rPr>
      </w:pPr>
      <w:r w:rsidRPr="00E15361">
        <w:rPr>
          <w:rFonts w:ascii="Trebuchet MS" w:eastAsia="Times New Roman" w:hAnsi="Trebuchet MS" w:cs="Times New Roman"/>
          <w:lang w:val="en" w:eastAsia="en-IE" w:bidi="ne-NP"/>
        </w:rPr>
        <w:t>Watson, D &amp; Nolan, B. (2011) A Social Profile of People with Disabilities. ESRI and Department of Social Protection</w:t>
      </w:r>
    </w:p>
    <w:p w:rsidR="00E15361" w:rsidRPr="00E15361" w:rsidRDefault="00E15361" w:rsidP="00E15361">
      <w:pPr>
        <w:spacing w:before="150" w:after="150" w:line="360" w:lineRule="auto"/>
        <w:ind w:left="150" w:right="150"/>
        <w:rPr>
          <w:rFonts w:ascii="Trebuchet MS" w:eastAsia="Times New Roman" w:hAnsi="Trebuchet MS" w:cs="Times New Roman"/>
          <w:sz w:val="21"/>
          <w:szCs w:val="21"/>
          <w:lang w:val="en" w:eastAsia="en-IE" w:bidi="ne-NP"/>
        </w:rPr>
      </w:pPr>
      <w:r w:rsidRPr="00E15361">
        <w:rPr>
          <w:rFonts w:ascii="Trebuchet MS" w:eastAsia="Times New Roman" w:hAnsi="Trebuchet MS" w:cs="Times New Roman"/>
          <w:sz w:val="21"/>
          <w:szCs w:val="21"/>
          <w:lang w:val="en" w:eastAsia="en-IE" w:bidi="ne-NP"/>
        </w:rPr>
        <w:t>   </w:t>
      </w:r>
      <w:r w:rsidRPr="00E15361">
        <w:rPr>
          <w:rFonts w:ascii="Trebuchet MS" w:eastAsia="Times New Roman" w:hAnsi="Trebuchet MS" w:cs="Times New Roman"/>
          <w:b/>
          <w:bCs/>
          <w:sz w:val="21"/>
          <w:szCs w:val="21"/>
          <w:lang w:val="en" w:eastAsia="en-IE" w:bidi="ne-NP"/>
        </w:rPr>
        <w:t>EXAMPLES OF CUTS FOR PEOPLE WITH DISABILITIES SINCE 2008 (updated June 2013).</w:t>
      </w:r>
      <w:r w:rsidRPr="00E15361">
        <w:rPr>
          <w:rFonts w:ascii="Trebuchet MS" w:eastAsia="Times New Roman" w:hAnsi="Trebuchet MS" w:cs="Times New Roman"/>
          <w:sz w:val="21"/>
          <w:szCs w:val="21"/>
          <w:lang w:val="en" w:eastAsia="en-IE" w:bidi="ne-NP"/>
        </w:rPr>
        <w:t>   </w:t>
      </w:r>
    </w:p>
    <w:tbl>
      <w:tblPr>
        <w:tblW w:w="4850" w:type="pct"/>
        <w:tblCellSpacing w:w="0" w:type="dxa"/>
        <w:tblInd w:w="150" w:type="dxa"/>
        <w:tblBorders>
          <w:top w:val="single" w:sz="12" w:space="0" w:color="990000"/>
          <w:left w:val="single" w:sz="12" w:space="0" w:color="990000"/>
          <w:bottom w:val="single" w:sz="12" w:space="0" w:color="990000"/>
          <w:right w:val="single" w:sz="12" w:space="0" w:color="990000"/>
        </w:tblBorders>
        <w:tblCellMar>
          <w:left w:w="0" w:type="dxa"/>
          <w:right w:w="0" w:type="dxa"/>
        </w:tblCellMar>
        <w:tblLook w:val="04A0" w:firstRow="1" w:lastRow="0" w:firstColumn="1" w:lastColumn="0" w:noHBand="0" w:noVBand="1"/>
      </w:tblPr>
      <w:tblGrid>
        <w:gridCol w:w="8784"/>
      </w:tblGrid>
      <w:tr w:rsidR="00E15361" w:rsidRPr="00E15361" w:rsidTr="00E15361">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15361" w:rsidRPr="00E15361" w:rsidRDefault="00E15361" w:rsidP="00E15361">
            <w:pPr>
              <w:spacing w:before="150" w:after="150" w:line="360" w:lineRule="auto"/>
              <w:ind w:left="150" w:right="150"/>
              <w:rPr>
                <w:rFonts w:ascii="Trebuchet MS" w:eastAsia="Times New Roman" w:hAnsi="Trebuchet MS" w:cs="Times New Roman"/>
                <w:sz w:val="19"/>
                <w:szCs w:val="19"/>
                <w:lang w:eastAsia="en-IE" w:bidi="ne-NP"/>
              </w:rPr>
            </w:pPr>
            <w:r w:rsidRPr="00E15361">
              <w:rPr>
                <w:rFonts w:ascii="Trebuchet MS" w:eastAsia="Times New Roman" w:hAnsi="Trebuchet MS" w:cs="Times New Roman"/>
                <w:b/>
                <w:bCs/>
                <w:sz w:val="19"/>
                <w:szCs w:val="19"/>
                <w:lang w:eastAsia="en-IE" w:bidi="ne-NP"/>
              </w:rPr>
              <w:t xml:space="preserve">Health / Individual Supports </w:t>
            </w:r>
          </w:p>
          <w:p w:rsidR="00E15361" w:rsidRPr="00E15361" w:rsidRDefault="00E15361" w:rsidP="00E15361">
            <w:pPr>
              <w:numPr>
                <w:ilvl w:val="0"/>
                <w:numId w:val="7"/>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The Drugs Payment Scheme threshold has increased by 44% since 2010 from €100 to €144</w:t>
            </w:r>
          </w:p>
          <w:p w:rsidR="00E15361" w:rsidRPr="00E15361" w:rsidRDefault="00E15361" w:rsidP="00E15361">
            <w:pPr>
              <w:numPr>
                <w:ilvl w:val="0"/>
                <w:numId w:val="7"/>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 xml:space="preserve">Increase in prescription charges for medical </w:t>
            </w:r>
            <w:proofErr w:type="gramStart"/>
            <w:r w:rsidRPr="00E15361">
              <w:rPr>
                <w:rFonts w:ascii="Trebuchet MS" w:eastAsia="Times New Roman" w:hAnsi="Trebuchet MS" w:cs="Times New Roman"/>
                <w:sz w:val="20"/>
                <w:szCs w:val="20"/>
                <w:lang w:eastAsia="en-IE" w:bidi="ne-NP"/>
              </w:rPr>
              <w:t>card holders</w:t>
            </w:r>
            <w:proofErr w:type="gramEnd"/>
            <w:r w:rsidRPr="00E15361">
              <w:rPr>
                <w:rFonts w:ascii="Trebuchet MS" w:eastAsia="Times New Roman" w:hAnsi="Trebuchet MS" w:cs="Times New Roman"/>
                <w:sz w:val="20"/>
                <w:szCs w:val="20"/>
                <w:lang w:eastAsia="en-IE" w:bidi="ne-NP"/>
              </w:rPr>
              <w:t xml:space="preserve"> from 50 cent to €1.50 to a monthly ceiling of €19.40 per family.</w:t>
            </w:r>
          </w:p>
          <w:p w:rsidR="00E15361" w:rsidRPr="00E15361" w:rsidRDefault="00E15361" w:rsidP="00E15361">
            <w:pPr>
              <w:numPr>
                <w:ilvl w:val="0"/>
                <w:numId w:val="7"/>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proofErr w:type="gramStart"/>
            <w:r w:rsidRPr="00E15361">
              <w:rPr>
                <w:rFonts w:ascii="Trebuchet MS" w:eastAsia="Times New Roman" w:hAnsi="Trebuchet MS" w:cs="Times New Roman"/>
                <w:sz w:val="20"/>
                <w:szCs w:val="20"/>
                <w:lang w:eastAsia="en-IE" w:bidi="ne-NP"/>
              </w:rPr>
              <w:t>Waiting list for Personal Assistance hours, and unmet need of 1,671 (2011).</w:t>
            </w:r>
            <w:proofErr w:type="gramEnd"/>
          </w:p>
          <w:p w:rsidR="00E15361" w:rsidRPr="00E15361" w:rsidRDefault="00E15361" w:rsidP="00E15361">
            <w:pPr>
              <w:numPr>
                <w:ilvl w:val="0"/>
                <w:numId w:val="7"/>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 xml:space="preserve">The Dental Treatment Benefit Scheme was limited to one annual oral examination in 2010.  Dental treatments for medical </w:t>
            </w:r>
            <w:proofErr w:type="gramStart"/>
            <w:r w:rsidRPr="00E15361">
              <w:rPr>
                <w:rFonts w:ascii="Trebuchet MS" w:eastAsia="Times New Roman" w:hAnsi="Trebuchet MS" w:cs="Times New Roman"/>
                <w:sz w:val="20"/>
                <w:szCs w:val="20"/>
                <w:lang w:eastAsia="en-IE" w:bidi="ne-NP"/>
              </w:rPr>
              <w:t>card holders</w:t>
            </w:r>
            <w:proofErr w:type="gramEnd"/>
            <w:r w:rsidRPr="00E15361">
              <w:rPr>
                <w:rFonts w:ascii="Trebuchet MS" w:eastAsia="Times New Roman" w:hAnsi="Trebuchet MS" w:cs="Times New Roman"/>
                <w:sz w:val="20"/>
                <w:szCs w:val="20"/>
                <w:lang w:eastAsia="en-IE" w:bidi="ne-NP"/>
              </w:rPr>
              <w:t xml:space="preserve"> have also been restricted.</w:t>
            </w:r>
          </w:p>
          <w:p w:rsidR="00E15361" w:rsidRPr="00E15361" w:rsidRDefault="00E15361" w:rsidP="00E15361">
            <w:pPr>
              <w:numPr>
                <w:ilvl w:val="0"/>
                <w:numId w:val="7"/>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The Optical Treatment Benefit Scheme was limited to a free eye exam only. Free spectacles or contact lenses are no longer available.</w:t>
            </w:r>
          </w:p>
          <w:p w:rsidR="00E15361" w:rsidRPr="00E15361" w:rsidRDefault="00E15361" w:rsidP="00E15361">
            <w:pPr>
              <w:spacing w:before="150" w:after="150" w:line="360" w:lineRule="auto"/>
              <w:ind w:left="150" w:right="150"/>
              <w:rPr>
                <w:rFonts w:ascii="Trebuchet MS" w:eastAsia="Times New Roman" w:hAnsi="Trebuchet MS" w:cs="Times New Roman"/>
                <w:sz w:val="19"/>
                <w:szCs w:val="19"/>
                <w:lang w:eastAsia="en-IE" w:bidi="ne-NP"/>
              </w:rPr>
            </w:pPr>
            <w:r w:rsidRPr="00E15361">
              <w:rPr>
                <w:rFonts w:ascii="Trebuchet MS" w:eastAsia="Times New Roman" w:hAnsi="Trebuchet MS" w:cs="Times New Roman"/>
                <w:sz w:val="19"/>
                <w:szCs w:val="19"/>
                <w:lang w:eastAsia="en-IE" w:bidi="ne-NP"/>
              </w:rPr>
              <w:t> </w:t>
            </w:r>
          </w:p>
        </w:tc>
      </w:tr>
    </w:tbl>
    <w:p w:rsidR="00E15361" w:rsidRPr="00E15361" w:rsidRDefault="00E15361" w:rsidP="00E15361">
      <w:pPr>
        <w:spacing w:after="150" w:line="360" w:lineRule="auto"/>
        <w:rPr>
          <w:rFonts w:ascii="Trebuchet MS" w:eastAsia="Times New Roman" w:hAnsi="Trebuchet MS" w:cs="Times New Roman"/>
          <w:vanish/>
          <w:lang w:val="en" w:eastAsia="en-IE" w:bidi="ne-NP"/>
        </w:rPr>
      </w:pPr>
    </w:p>
    <w:tbl>
      <w:tblPr>
        <w:tblW w:w="4850" w:type="pct"/>
        <w:tblCellSpacing w:w="0" w:type="dxa"/>
        <w:tblInd w:w="150" w:type="dxa"/>
        <w:tblBorders>
          <w:top w:val="single" w:sz="12" w:space="0" w:color="990000"/>
          <w:left w:val="single" w:sz="12" w:space="0" w:color="990000"/>
          <w:bottom w:val="single" w:sz="12" w:space="0" w:color="990000"/>
          <w:right w:val="single" w:sz="12" w:space="0" w:color="990000"/>
        </w:tblBorders>
        <w:tblCellMar>
          <w:left w:w="0" w:type="dxa"/>
          <w:right w:w="0" w:type="dxa"/>
        </w:tblCellMar>
        <w:tblLook w:val="04A0" w:firstRow="1" w:lastRow="0" w:firstColumn="1" w:lastColumn="0" w:noHBand="0" w:noVBand="1"/>
      </w:tblPr>
      <w:tblGrid>
        <w:gridCol w:w="8784"/>
      </w:tblGrid>
      <w:tr w:rsidR="00E15361" w:rsidRPr="00E15361" w:rsidTr="00E15361">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15361" w:rsidRPr="00E15361" w:rsidRDefault="00E15361" w:rsidP="00E15361">
            <w:pPr>
              <w:spacing w:before="150" w:after="150" w:line="360" w:lineRule="auto"/>
              <w:ind w:left="150" w:right="150"/>
              <w:rPr>
                <w:rFonts w:ascii="Trebuchet MS" w:eastAsia="Times New Roman" w:hAnsi="Trebuchet MS" w:cs="Times New Roman"/>
                <w:sz w:val="19"/>
                <w:szCs w:val="19"/>
                <w:lang w:eastAsia="en-IE" w:bidi="ne-NP"/>
              </w:rPr>
            </w:pPr>
            <w:r w:rsidRPr="00E15361">
              <w:rPr>
                <w:rFonts w:ascii="Trebuchet MS" w:eastAsia="Times New Roman" w:hAnsi="Trebuchet MS" w:cs="Times New Roman"/>
                <w:b/>
                <w:bCs/>
                <w:sz w:val="19"/>
                <w:szCs w:val="19"/>
                <w:lang w:eastAsia="en-IE" w:bidi="ne-NP"/>
              </w:rPr>
              <w:t>Education Support</w:t>
            </w:r>
          </w:p>
          <w:p w:rsidR="00E15361" w:rsidRPr="00E15361" w:rsidRDefault="00E15361" w:rsidP="00E15361">
            <w:pPr>
              <w:numPr>
                <w:ilvl w:val="0"/>
                <w:numId w:val="8"/>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 xml:space="preserve">The number of Special Needs Assistants </w:t>
            </w:r>
            <w:proofErr w:type="gramStart"/>
            <w:r w:rsidRPr="00E15361">
              <w:rPr>
                <w:rFonts w:ascii="Trebuchet MS" w:eastAsia="Times New Roman" w:hAnsi="Trebuchet MS" w:cs="Times New Roman"/>
                <w:sz w:val="20"/>
                <w:szCs w:val="20"/>
                <w:lang w:eastAsia="en-IE" w:bidi="ne-NP"/>
              </w:rPr>
              <w:t>was capped</w:t>
            </w:r>
            <w:proofErr w:type="gramEnd"/>
            <w:r w:rsidRPr="00E15361">
              <w:rPr>
                <w:rFonts w:ascii="Trebuchet MS" w:eastAsia="Times New Roman" w:hAnsi="Trebuchet MS" w:cs="Times New Roman"/>
                <w:sz w:val="20"/>
                <w:szCs w:val="20"/>
                <w:lang w:eastAsia="en-IE" w:bidi="ne-NP"/>
              </w:rPr>
              <w:t xml:space="preserve"> in 2011.</w:t>
            </w:r>
          </w:p>
          <w:p w:rsidR="00E15361" w:rsidRPr="00E15361" w:rsidRDefault="00E15361" w:rsidP="00E15361">
            <w:pPr>
              <w:numPr>
                <w:ilvl w:val="0"/>
                <w:numId w:val="8"/>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proofErr w:type="gramStart"/>
            <w:r w:rsidRPr="00E15361">
              <w:rPr>
                <w:rFonts w:ascii="Trebuchet MS" w:eastAsia="Times New Roman" w:hAnsi="Trebuchet MS" w:cs="Times New Roman"/>
                <w:sz w:val="20"/>
                <w:szCs w:val="20"/>
                <w:lang w:eastAsia="en-IE" w:bidi="ne-NP"/>
              </w:rPr>
              <w:lastRenderedPageBreak/>
              <w:t>National Council for Special Education (NCSE) budget cut by €2.3 million or 21% in 2011.</w:t>
            </w:r>
            <w:proofErr w:type="gramEnd"/>
          </w:p>
          <w:p w:rsidR="00E15361" w:rsidRPr="00E15361" w:rsidRDefault="00E15361" w:rsidP="00E15361">
            <w:pPr>
              <w:numPr>
                <w:ilvl w:val="0"/>
                <w:numId w:val="8"/>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The number of National Educational Psychological Service (NEPS) psychologists restricted to 178 in 2011.</w:t>
            </w:r>
          </w:p>
          <w:p w:rsidR="00E15361" w:rsidRPr="00E15361" w:rsidRDefault="00E15361" w:rsidP="00E15361">
            <w:pPr>
              <w:numPr>
                <w:ilvl w:val="0"/>
                <w:numId w:val="8"/>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proofErr w:type="gramStart"/>
            <w:r w:rsidRPr="00E15361">
              <w:rPr>
                <w:rFonts w:ascii="Trebuchet MS" w:eastAsia="Times New Roman" w:hAnsi="Trebuchet MS" w:cs="Times New Roman"/>
                <w:sz w:val="20"/>
                <w:szCs w:val="20"/>
                <w:lang w:eastAsia="en-IE" w:bidi="ne-NP"/>
              </w:rPr>
              <w:t>Funding for access programme for students with disabilities cut by 20% in universities in 2012.</w:t>
            </w:r>
            <w:proofErr w:type="gramEnd"/>
            <w:r w:rsidRPr="00E15361">
              <w:rPr>
                <w:rFonts w:ascii="Trebuchet MS" w:eastAsia="Times New Roman" w:hAnsi="Trebuchet MS" w:cs="Times New Roman"/>
                <w:sz w:val="20"/>
                <w:szCs w:val="20"/>
                <w:lang w:eastAsia="en-IE" w:bidi="ne-NP"/>
              </w:rPr>
              <w:t xml:space="preserve"> This fund is not available to part-time students or students in further education.</w:t>
            </w:r>
          </w:p>
        </w:tc>
      </w:tr>
    </w:tbl>
    <w:p w:rsidR="00E15361" w:rsidRPr="00E15361" w:rsidRDefault="00E15361" w:rsidP="00E15361">
      <w:pPr>
        <w:spacing w:after="150" w:line="360" w:lineRule="auto"/>
        <w:rPr>
          <w:rFonts w:ascii="Trebuchet MS" w:eastAsia="Times New Roman" w:hAnsi="Trebuchet MS" w:cs="Times New Roman"/>
          <w:vanish/>
          <w:lang w:val="en" w:eastAsia="en-IE" w:bidi="ne-NP"/>
        </w:rPr>
      </w:pPr>
    </w:p>
    <w:tbl>
      <w:tblPr>
        <w:tblW w:w="4850" w:type="pct"/>
        <w:tblCellSpacing w:w="0" w:type="dxa"/>
        <w:tblInd w:w="150" w:type="dxa"/>
        <w:tblBorders>
          <w:top w:val="single" w:sz="12" w:space="0" w:color="990000"/>
          <w:left w:val="single" w:sz="12" w:space="0" w:color="990000"/>
          <w:bottom w:val="single" w:sz="12" w:space="0" w:color="990000"/>
          <w:right w:val="single" w:sz="12" w:space="0" w:color="990000"/>
        </w:tblBorders>
        <w:tblCellMar>
          <w:left w:w="0" w:type="dxa"/>
          <w:right w:w="0" w:type="dxa"/>
        </w:tblCellMar>
        <w:tblLook w:val="04A0" w:firstRow="1" w:lastRow="0" w:firstColumn="1" w:lastColumn="0" w:noHBand="0" w:noVBand="1"/>
      </w:tblPr>
      <w:tblGrid>
        <w:gridCol w:w="8784"/>
      </w:tblGrid>
      <w:tr w:rsidR="00E15361" w:rsidRPr="00E15361" w:rsidTr="00E15361">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15361" w:rsidRPr="00E15361" w:rsidRDefault="00E15361" w:rsidP="00E15361">
            <w:pPr>
              <w:spacing w:before="150" w:after="150" w:line="360" w:lineRule="auto"/>
              <w:ind w:left="150" w:right="150"/>
              <w:rPr>
                <w:rFonts w:ascii="Trebuchet MS" w:eastAsia="Times New Roman" w:hAnsi="Trebuchet MS" w:cs="Times New Roman"/>
                <w:sz w:val="19"/>
                <w:szCs w:val="19"/>
                <w:lang w:eastAsia="en-IE" w:bidi="ne-NP"/>
              </w:rPr>
            </w:pPr>
            <w:r w:rsidRPr="00E15361">
              <w:rPr>
                <w:rFonts w:ascii="Trebuchet MS" w:eastAsia="Times New Roman" w:hAnsi="Trebuchet MS" w:cs="Times New Roman"/>
                <w:b/>
                <w:bCs/>
                <w:sz w:val="19"/>
                <w:szCs w:val="19"/>
                <w:lang w:eastAsia="en-IE" w:bidi="ne-NP"/>
              </w:rPr>
              <w:t xml:space="preserve">Income Supports </w:t>
            </w:r>
          </w:p>
          <w:p w:rsidR="00E15361" w:rsidRPr="00E15361" w:rsidRDefault="00E15361" w:rsidP="00E15361">
            <w:pPr>
              <w:numPr>
                <w:ilvl w:val="0"/>
                <w:numId w:val="9"/>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Disability Allowance, Blind Pension, Invalidity Pension, Carer’s Allowance, cut by an average of 4.1%, and Supplementary Welfare Allowance cut by 5.1% in 2011.</w:t>
            </w:r>
          </w:p>
          <w:p w:rsidR="00E15361" w:rsidRPr="00E15361" w:rsidRDefault="00E15361" w:rsidP="00E15361">
            <w:pPr>
              <w:numPr>
                <w:ilvl w:val="0"/>
                <w:numId w:val="9"/>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 xml:space="preserve">22% cut to Child Benefit since 2010 for those with </w:t>
            </w:r>
            <w:proofErr w:type="gramStart"/>
            <w:r w:rsidRPr="00E15361">
              <w:rPr>
                <w:rFonts w:ascii="Trebuchet MS" w:eastAsia="Times New Roman" w:hAnsi="Trebuchet MS" w:cs="Times New Roman"/>
                <w:sz w:val="20"/>
                <w:szCs w:val="20"/>
                <w:lang w:eastAsia="en-IE" w:bidi="ne-NP"/>
              </w:rPr>
              <w:t>1</w:t>
            </w:r>
            <w:proofErr w:type="gramEnd"/>
            <w:r w:rsidRPr="00E15361">
              <w:rPr>
                <w:rFonts w:ascii="Trebuchet MS" w:eastAsia="Times New Roman" w:hAnsi="Trebuchet MS" w:cs="Times New Roman"/>
                <w:sz w:val="20"/>
                <w:szCs w:val="20"/>
                <w:lang w:eastAsia="en-IE" w:bidi="ne-NP"/>
              </w:rPr>
              <w:t xml:space="preserve"> or 2 children, equivalent to €36.</w:t>
            </w:r>
          </w:p>
          <w:p w:rsidR="00E15361" w:rsidRPr="00E15361" w:rsidRDefault="00E15361" w:rsidP="00E15361">
            <w:pPr>
              <w:numPr>
                <w:ilvl w:val="0"/>
                <w:numId w:val="9"/>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Changes in the eligibility for the Community Childcare Subvention Scheme mean that a person in receipt of a disability payment will only get the full rate of subvention (€95) if they also qualify for a medical card (2013). If not, they will receive €50.</w:t>
            </w:r>
          </w:p>
          <w:p w:rsidR="00E15361" w:rsidRPr="00E15361" w:rsidRDefault="00E15361" w:rsidP="00E15361">
            <w:pPr>
              <w:numPr>
                <w:ilvl w:val="0"/>
                <w:numId w:val="9"/>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Respite Care Grant cut by 19% in 2013.</w:t>
            </w:r>
          </w:p>
          <w:p w:rsidR="00E15361" w:rsidRPr="00E15361" w:rsidRDefault="00E15361" w:rsidP="00E15361">
            <w:pPr>
              <w:numPr>
                <w:ilvl w:val="0"/>
                <w:numId w:val="9"/>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Fuel allowance Scheme cut by 6 weeks.</w:t>
            </w:r>
          </w:p>
          <w:p w:rsidR="00E15361" w:rsidRPr="00E15361" w:rsidRDefault="00E15361" w:rsidP="00E15361">
            <w:pPr>
              <w:numPr>
                <w:ilvl w:val="0"/>
                <w:numId w:val="9"/>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proofErr w:type="gramStart"/>
            <w:r w:rsidRPr="00E15361">
              <w:rPr>
                <w:rFonts w:ascii="Trebuchet MS" w:eastAsia="Times New Roman" w:hAnsi="Trebuchet MS" w:cs="Times New Roman"/>
                <w:sz w:val="20"/>
                <w:szCs w:val="20"/>
                <w:lang w:eastAsia="en-IE" w:bidi="ne-NP"/>
              </w:rPr>
              <w:t>Telephone allowance cut by 63% since 2011.</w:t>
            </w:r>
            <w:proofErr w:type="gramEnd"/>
          </w:p>
          <w:p w:rsidR="00E15361" w:rsidRPr="00E15361" w:rsidRDefault="00E15361" w:rsidP="00E15361">
            <w:pPr>
              <w:numPr>
                <w:ilvl w:val="0"/>
                <w:numId w:val="9"/>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Electricity and Gas Allowance cut with move to cash / cash credit payments instead of units (2013).  </w:t>
            </w:r>
          </w:p>
        </w:tc>
      </w:tr>
    </w:tbl>
    <w:p w:rsidR="00E15361" w:rsidRPr="00E15361" w:rsidRDefault="00E15361" w:rsidP="00E15361">
      <w:pPr>
        <w:spacing w:after="150" w:line="360" w:lineRule="auto"/>
        <w:rPr>
          <w:rFonts w:ascii="Trebuchet MS" w:eastAsia="Times New Roman" w:hAnsi="Trebuchet MS" w:cs="Times New Roman"/>
          <w:vanish/>
          <w:lang w:val="en" w:eastAsia="en-IE" w:bidi="ne-NP"/>
        </w:rPr>
      </w:pPr>
    </w:p>
    <w:tbl>
      <w:tblPr>
        <w:tblW w:w="4850" w:type="pct"/>
        <w:tblCellSpacing w:w="0" w:type="dxa"/>
        <w:tblInd w:w="150" w:type="dxa"/>
        <w:tblBorders>
          <w:top w:val="single" w:sz="12" w:space="0" w:color="990000"/>
          <w:left w:val="single" w:sz="12" w:space="0" w:color="990000"/>
          <w:bottom w:val="single" w:sz="12" w:space="0" w:color="990000"/>
          <w:right w:val="single" w:sz="12" w:space="0" w:color="990000"/>
        </w:tblBorders>
        <w:tblCellMar>
          <w:left w:w="0" w:type="dxa"/>
          <w:right w:w="0" w:type="dxa"/>
        </w:tblCellMar>
        <w:tblLook w:val="04A0" w:firstRow="1" w:lastRow="0" w:firstColumn="1" w:lastColumn="0" w:noHBand="0" w:noVBand="1"/>
      </w:tblPr>
      <w:tblGrid>
        <w:gridCol w:w="8784"/>
      </w:tblGrid>
      <w:tr w:rsidR="00E15361" w:rsidRPr="00E15361" w:rsidTr="00E15361">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15361" w:rsidRPr="00E15361" w:rsidRDefault="00E15361" w:rsidP="00E15361">
            <w:pPr>
              <w:spacing w:before="150" w:after="150" w:line="360" w:lineRule="auto"/>
              <w:ind w:left="150" w:right="150"/>
              <w:rPr>
                <w:rFonts w:ascii="Trebuchet MS" w:eastAsia="Times New Roman" w:hAnsi="Trebuchet MS" w:cs="Times New Roman"/>
                <w:sz w:val="19"/>
                <w:szCs w:val="19"/>
                <w:lang w:eastAsia="en-IE" w:bidi="ne-NP"/>
              </w:rPr>
            </w:pPr>
            <w:r w:rsidRPr="00E15361">
              <w:rPr>
                <w:rFonts w:ascii="Trebuchet MS" w:eastAsia="Times New Roman" w:hAnsi="Trebuchet MS" w:cs="Times New Roman"/>
                <w:b/>
                <w:bCs/>
                <w:sz w:val="19"/>
                <w:szCs w:val="19"/>
                <w:lang w:eastAsia="en-IE" w:bidi="ne-NP"/>
              </w:rPr>
              <w:t xml:space="preserve">Revenue and Tax Credits </w:t>
            </w:r>
          </w:p>
          <w:p w:rsidR="00E15361" w:rsidRPr="00E15361" w:rsidRDefault="00E15361" w:rsidP="00E15361">
            <w:pPr>
              <w:numPr>
                <w:ilvl w:val="0"/>
                <w:numId w:val="10"/>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Blind Tax Credit, Incapacitated Child Credit, Home Carer Credit cut by 10% in 2011</w:t>
            </w:r>
          </w:p>
          <w:p w:rsidR="00E15361" w:rsidRPr="00E15361" w:rsidRDefault="00E15361" w:rsidP="00E15361">
            <w:pPr>
              <w:numPr>
                <w:ilvl w:val="0"/>
                <w:numId w:val="10"/>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Introduction of the Universal Social Charge</w:t>
            </w:r>
          </w:p>
          <w:p w:rsidR="00E15361" w:rsidRPr="00E15361" w:rsidRDefault="00E15361" w:rsidP="00E15361">
            <w:pPr>
              <w:numPr>
                <w:ilvl w:val="0"/>
                <w:numId w:val="10"/>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Rental tax credits reduced by 20%</w:t>
            </w:r>
          </w:p>
          <w:p w:rsidR="00E15361" w:rsidRPr="00E15361" w:rsidRDefault="00E15361" w:rsidP="00E15361">
            <w:pPr>
              <w:numPr>
                <w:ilvl w:val="0"/>
                <w:numId w:val="10"/>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VAT increased from 21% to 23% in 2012</w:t>
            </w:r>
          </w:p>
          <w:p w:rsidR="00E15361" w:rsidRPr="00E15361" w:rsidRDefault="00E15361" w:rsidP="00E15361">
            <w:pPr>
              <w:numPr>
                <w:ilvl w:val="0"/>
                <w:numId w:val="10"/>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Property tax introduced</w:t>
            </w:r>
          </w:p>
          <w:p w:rsidR="00E15361" w:rsidRPr="00E15361" w:rsidRDefault="00E15361" w:rsidP="00E15361">
            <w:pPr>
              <w:numPr>
                <w:ilvl w:val="0"/>
                <w:numId w:val="10"/>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Carbon tax extended to oil and gas</w:t>
            </w:r>
          </w:p>
          <w:p w:rsidR="00E15361" w:rsidRPr="00E15361" w:rsidRDefault="00E15361" w:rsidP="00E15361">
            <w:pPr>
              <w:numPr>
                <w:ilvl w:val="0"/>
                <w:numId w:val="10"/>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Consumer prices as measured by the Consumer Price Index (CPI) rose by 2.6% in 2011 and 1.7% in 2012. </w:t>
            </w:r>
          </w:p>
        </w:tc>
      </w:tr>
    </w:tbl>
    <w:p w:rsidR="00E15361" w:rsidRPr="00E15361" w:rsidRDefault="00E15361" w:rsidP="00E15361">
      <w:pPr>
        <w:spacing w:after="150" w:line="360" w:lineRule="auto"/>
        <w:rPr>
          <w:rFonts w:ascii="Trebuchet MS" w:eastAsia="Times New Roman" w:hAnsi="Trebuchet MS" w:cs="Times New Roman"/>
          <w:vanish/>
          <w:lang w:val="en" w:eastAsia="en-IE" w:bidi="ne-NP"/>
        </w:rPr>
      </w:pPr>
    </w:p>
    <w:tbl>
      <w:tblPr>
        <w:tblW w:w="4850" w:type="pct"/>
        <w:tblCellSpacing w:w="0" w:type="dxa"/>
        <w:tblInd w:w="150" w:type="dxa"/>
        <w:tblBorders>
          <w:top w:val="single" w:sz="12" w:space="0" w:color="990000"/>
          <w:left w:val="single" w:sz="12" w:space="0" w:color="990000"/>
          <w:bottom w:val="single" w:sz="12" w:space="0" w:color="990000"/>
          <w:right w:val="single" w:sz="12" w:space="0" w:color="990000"/>
        </w:tblBorders>
        <w:tblCellMar>
          <w:left w:w="0" w:type="dxa"/>
          <w:right w:w="0" w:type="dxa"/>
        </w:tblCellMar>
        <w:tblLook w:val="04A0" w:firstRow="1" w:lastRow="0" w:firstColumn="1" w:lastColumn="0" w:noHBand="0" w:noVBand="1"/>
      </w:tblPr>
      <w:tblGrid>
        <w:gridCol w:w="8784"/>
      </w:tblGrid>
      <w:tr w:rsidR="00E15361" w:rsidRPr="00E15361" w:rsidTr="00E15361">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15361" w:rsidRPr="00E15361" w:rsidRDefault="00E15361" w:rsidP="00E15361">
            <w:pPr>
              <w:spacing w:before="150" w:after="150" w:line="360" w:lineRule="auto"/>
              <w:ind w:left="150" w:right="150"/>
              <w:rPr>
                <w:rFonts w:ascii="Trebuchet MS" w:eastAsia="Times New Roman" w:hAnsi="Trebuchet MS" w:cs="Times New Roman"/>
                <w:sz w:val="19"/>
                <w:szCs w:val="19"/>
                <w:lang w:eastAsia="en-IE" w:bidi="ne-NP"/>
              </w:rPr>
            </w:pPr>
            <w:r w:rsidRPr="00E15361">
              <w:rPr>
                <w:rFonts w:ascii="Trebuchet MS" w:eastAsia="Times New Roman" w:hAnsi="Trebuchet MS" w:cs="Times New Roman"/>
                <w:b/>
                <w:bCs/>
                <w:sz w:val="19"/>
                <w:szCs w:val="19"/>
                <w:lang w:eastAsia="en-IE" w:bidi="ne-NP"/>
              </w:rPr>
              <w:t xml:space="preserve">Housing </w:t>
            </w:r>
          </w:p>
          <w:p w:rsidR="00E15361" w:rsidRPr="00E15361" w:rsidRDefault="00E15361" w:rsidP="00E15361">
            <w:pPr>
              <w:numPr>
                <w:ilvl w:val="0"/>
                <w:numId w:val="11"/>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Housing Adaptation Grant Schemes cut by 42% since 2010.</w:t>
            </w:r>
          </w:p>
          <w:p w:rsidR="00E15361" w:rsidRPr="00E15361" w:rsidRDefault="00E15361" w:rsidP="00E15361">
            <w:pPr>
              <w:numPr>
                <w:ilvl w:val="0"/>
                <w:numId w:val="11"/>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proofErr w:type="gramStart"/>
            <w:r w:rsidRPr="00E15361">
              <w:rPr>
                <w:rFonts w:ascii="Trebuchet MS" w:eastAsia="Times New Roman" w:hAnsi="Trebuchet MS" w:cs="Times New Roman"/>
                <w:sz w:val="20"/>
                <w:szCs w:val="20"/>
                <w:lang w:eastAsia="en-IE" w:bidi="ne-NP"/>
              </w:rPr>
              <w:t>Funding for social housing budget reduced by 54% since 2008.</w:t>
            </w:r>
            <w:proofErr w:type="gramEnd"/>
          </w:p>
          <w:p w:rsidR="00E15361" w:rsidRPr="00E15361" w:rsidRDefault="00E15361" w:rsidP="00E15361">
            <w:pPr>
              <w:numPr>
                <w:ilvl w:val="0"/>
                <w:numId w:val="11"/>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The Capital Assistance Scheme, used to house people with disabilities reduced from €145m in 2010 to €50m in 2012.</w:t>
            </w:r>
          </w:p>
          <w:p w:rsidR="00E15361" w:rsidRPr="00E15361" w:rsidRDefault="00E15361" w:rsidP="00E15361">
            <w:pPr>
              <w:numPr>
                <w:ilvl w:val="0"/>
                <w:numId w:val="11"/>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The minimum contribution required of rent supplement recipients increased in 2012.</w:t>
            </w:r>
          </w:p>
        </w:tc>
      </w:tr>
    </w:tbl>
    <w:p w:rsidR="00E15361" w:rsidRPr="00E15361" w:rsidRDefault="00E15361" w:rsidP="00E15361">
      <w:pPr>
        <w:spacing w:after="150" w:line="360" w:lineRule="auto"/>
        <w:rPr>
          <w:rFonts w:ascii="Trebuchet MS" w:eastAsia="Times New Roman" w:hAnsi="Trebuchet MS" w:cs="Times New Roman"/>
          <w:vanish/>
          <w:lang w:val="en" w:eastAsia="en-IE" w:bidi="ne-NP"/>
        </w:rPr>
      </w:pPr>
    </w:p>
    <w:tbl>
      <w:tblPr>
        <w:tblW w:w="4850" w:type="pct"/>
        <w:tblCellSpacing w:w="0" w:type="dxa"/>
        <w:tblInd w:w="150" w:type="dxa"/>
        <w:tblBorders>
          <w:top w:val="single" w:sz="12" w:space="0" w:color="990000"/>
          <w:left w:val="single" w:sz="12" w:space="0" w:color="990000"/>
          <w:bottom w:val="single" w:sz="12" w:space="0" w:color="990000"/>
          <w:right w:val="single" w:sz="12" w:space="0" w:color="990000"/>
        </w:tblBorders>
        <w:tblCellMar>
          <w:left w:w="0" w:type="dxa"/>
          <w:right w:w="0" w:type="dxa"/>
        </w:tblCellMar>
        <w:tblLook w:val="04A0" w:firstRow="1" w:lastRow="0" w:firstColumn="1" w:lastColumn="0" w:noHBand="0" w:noVBand="1"/>
      </w:tblPr>
      <w:tblGrid>
        <w:gridCol w:w="8784"/>
      </w:tblGrid>
      <w:tr w:rsidR="00E15361" w:rsidRPr="00E15361" w:rsidTr="00E15361">
        <w:trPr>
          <w:tblCellSpacing w:w="0" w:type="dxa"/>
        </w:trPr>
        <w:tc>
          <w:tcPr>
            <w:tcW w:w="0" w:type="auto"/>
            <w:tcBorders>
              <w:top w:val="single" w:sz="6" w:space="0" w:color="FFFFFF"/>
              <w:left w:val="single" w:sz="6" w:space="0" w:color="FFFFFF"/>
              <w:bottom w:val="single" w:sz="6" w:space="0" w:color="FFFFFF"/>
              <w:right w:val="single" w:sz="6" w:space="0" w:color="FFFFFF"/>
            </w:tcBorders>
            <w:shd w:val="clear" w:color="auto" w:fill="EEEEEE"/>
            <w:vAlign w:val="center"/>
            <w:hideMark/>
          </w:tcPr>
          <w:p w:rsidR="00E15361" w:rsidRPr="00E15361" w:rsidRDefault="00E15361" w:rsidP="00E15361">
            <w:pPr>
              <w:spacing w:before="150" w:after="150" w:line="360" w:lineRule="auto"/>
              <w:ind w:left="150" w:right="150"/>
              <w:rPr>
                <w:rFonts w:ascii="Trebuchet MS" w:eastAsia="Times New Roman" w:hAnsi="Trebuchet MS" w:cs="Times New Roman"/>
                <w:sz w:val="19"/>
                <w:szCs w:val="19"/>
                <w:lang w:eastAsia="en-IE" w:bidi="ne-NP"/>
              </w:rPr>
            </w:pPr>
            <w:r w:rsidRPr="00E15361">
              <w:rPr>
                <w:rFonts w:ascii="Trebuchet MS" w:eastAsia="Times New Roman" w:hAnsi="Trebuchet MS" w:cs="Times New Roman"/>
                <w:b/>
                <w:bCs/>
                <w:sz w:val="19"/>
                <w:szCs w:val="19"/>
                <w:lang w:eastAsia="en-IE" w:bidi="ne-NP"/>
              </w:rPr>
              <w:lastRenderedPageBreak/>
              <w:t>Health / Disability Services</w:t>
            </w:r>
          </w:p>
          <w:p w:rsidR="00E15361" w:rsidRPr="00E15361" w:rsidRDefault="00E15361" w:rsidP="00E15361">
            <w:pPr>
              <w:numPr>
                <w:ilvl w:val="0"/>
                <w:numId w:val="12"/>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Continued overall cuts to HSE funding for disability services since 2008 (1% cut in 2008; 4.5% in 2009; 5% in 2010; 1.8% in 2011; 3.7% in 2012; and 1.2% in 2013).</w:t>
            </w:r>
          </w:p>
          <w:p w:rsidR="00E15361" w:rsidRPr="00E15361" w:rsidRDefault="00E15361" w:rsidP="00E15361">
            <w:pPr>
              <w:numPr>
                <w:ilvl w:val="0"/>
                <w:numId w:val="12"/>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However, on an individual basis, organisations have sustained cuts in excess of these amounts.</w:t>
            </w:r>
          </w:p>
          <w:p w:rsidR="00E15361" w:rsidRPr="00E15361" w:rsidRDefault="00E15361" w:rsidP="00E15361">
            <w:pPr>
              <w:numPr>
                <w:ilvl w:val="0"/>
                <w:numId w:val="12"/>
              </w:numPr>
              <w:spacing w:before="100" w:beforeAutospacing="1" w:after="100" w:afterAutospacing="1" w:line="360" w:lineRule="auto"/>
              <w:ind w:left="525" w:right="150"/>
              <w:rPr>
                <w:rFonts w:ascii="Trebuchet MS" w:eastAsia="Times New Roman" w:hAnsi="Trebuchet MS" w:cs="Times New Roman"/>
                <w:sz w:val="20"/>
                <w:szCs w:val="20"/>
                <w:lang w:eastAsia="en-IE" w:bidi="ne-NP"/>
              </w:rPr>
            </w:pPr>
            <w:r w:rsidRPr="00E15361">
              <w:rPr>
                <w:rFonts w:ascii="Trebuchet MS" w:eastAsia="Times New Roman" w:hAnsi="Trebuchet MS" w:cs="Times New Roman"/>
                <w:sz w:val="20"/>
                <w:szCs w:val="20"/>
                <w:lang w:eastAsia="en-IE" w:bidi="ne-NP"/>
              </w:rPr>
              <w:t xml:space="preserve">In addition, research done by DFI in 2012 found that fundraised income </w:t>
            </w:r>
            <w:proofErr w:type="gramStart"/>
            <w:r w:rsidRPr="00E15361">
              <w:rPr>
                <w:rFonts w:ascii="Trebuchet MS" w:eastAsia="Times New Roman" w:hAnsi="Trebuchet MS" w:cs="Times New Roman"/>
                <w:sz w:val="20"/>
                <w:szCs w:val="20"/>
                <w:lang w:eastAsia="en-IE" w:bidi="ne-NP"/>
              </w:rPr>
              <w:t>has been severely affected</w:t>
            </w:r>
            <w:proofErr w:type="gramEnd"/>
            <w:r w:rsidRPr="00E15361">
              <w:rPr>
                <w:rFonts w:ascii="Trebuchet MS" w:eastAsia="Times New Roman" w:hAnsi="Trebuchet MS" w:cs="Times New Roman"/>
                <w:sz w:val="20"/>
                <w:szCs w:val="20"/>
                <w:lang w:eastAsia="en-IE" w:bidi="ne-NP"/>
              </w:rPr>
              <w:t xml:space="preserve"> by the economic downturn. Over half of the organisations we sampled sustained an average drop of 17% in their fundraised </w:t>
            </w:r>
            <w:proofErr w:type="gramStart"/>
            <w:r w:rsidRPr="00E15361">
              <w:rPr>
                <w:rFonts w:ascii="Trebuchet MS" w:eastAsia="Times New Roman" w:hAnsi="Trebuchet MS" w:cs="Times New Roman"/>
                <w:sz w:val="20"/>
                <w:szCs w:val="20"/>
                <w:lang w:eastAsia="en-IE" w:bidi="ne-NP"/>
              </w:rPr>
              <w:t>income[</w:t>
            </w:r>
            <w:proofErr w:type="gramEnd"/>
            <w:r w:rsidRPr="00E15361">
              <w:rPr>
                <w:rFonts w:ascii="Trebuchet MS" w:eastAsia="Times New Roman" w:hAnsi="Trebuchet MS" w:cs="Times New Roman"/>
                <w:sz w:val="20"/>
                <w:szCs w:val="20"/>
                <w:lang w:eastAsia="en-IE" w:bidi="ne-NP"/>
              </w:rPr>
              <w:t>1].</w:t>
            </w:r>
          </w:p>
        </w:tc>
      </w:tr>
    </w:tbl>
    <w:p w:rsidR="00E15361" w:rsidRPr="00E15361" w:rsidRDefault="00E15361" w:rsidP="00E15361">
      <w:pPr>
        <w:spacing w:before="150" w:after="150" w:line="360" w:lineRule="auto"/>
        <w:ind w:left="150" w:right="150"/>
        <w:rPr>
          <w:rFonts w:ascii="Trebuchet MS" w:eastAsia="Times New Roman" w:hAnsi="Trebuchet MS" w:cs="Times New Roman"/>
          <w:sz w:val="21"/>
          <w:szCs w:val="21"/>
          <w:lang w:val="en" w:eastAsia="en-IE" w:bidi="ne-NP"/>
        </w:rPr>
      </w:pPr>
      <w:r w:rsidRPr="00E15361">
        <w:rPr>
          <w:rFonts w:ascii="Trebuchet MS" w:eastAsia="Times New Roman" w:hAnsi="Trebuchet MS" w:cs="Times New Roman"/>
          <w:sz w:val="21"/>
          <w:szCs w:val="21"/>
          <w:lang w:val="en" w:eastAsia="en-IE" w:bidi="ne-NP"/>
        </w:rPr>
        <w:t> </w:t>
      </w:r>
    </w:p>
    <w:p w:rsidR="00E15361" w:rsidRDefault="00E15361" w:rsidP="00E15361">
      <w:pPr>
        <w:spacing w:before="150" w:after="150" w:line="360" w:lineRule="auto"/>
        <w:ind w:left="150" w:right="150"/>
        <w:rPr>
          <w:rFonts w:ascii="Trebuchet MS" w:eastAsia="Times New Roman" w:hAnsi="Trebuchet MS" w:cs="Times New Roman"/>
          <w:sz w:val="21"/>
          <w:szCs w:val="21"/>
          <w:lang w:val="en" w:eastAsia="en-IE" w:bidi="ne-NP"/>
        </w:rPr>
      </w:pPr>
      <w:r w:rsidRPr="00E15361">
        <w:rPr>
          <w:rFonts w:ascii="Trebuchet MS" w:eastAsia="Times New Roman" w:hAnsi="Trebuchet MS" w:cs="Times New Roman"/>
          <w:sz w:val="21"/>
          <w:szCs w:val="21"/>
          <w:lang w:val="en" w:eastAsia="en-IE" w:bidi="ne-NP"/>
        </w:rPr>
        <w:t xml:space="preserve">  [1] DFI carried out a sample review of 25 </w:t>
      </w:r>
      <w:proofErr w:type="spellStart"/>
      <w:r w:rsidRPr="00E15361">
        <w:rPr>
          <w:rFonts w:ascii="Trebuchet MS" w:eastAsia="Times New Roman" w:hAnsi="Trebuchet MS" w:cs="Times New Roman"/>
          <w:sz w:val="21"/>
          <w:szCs w:val="21"/>
          <w:lang w:val="en" w:eastAsia="en-IE" w:bidi="ne-NP"/>
        </w:rPr>
        <w:t>organisations’</w:t>
      </w:r>
      <w:proofErr w:type="spellEnd"/>
      <w:r w:rsidRPr="00E15361">
        <w:rPr>
          <w:rFonts w:ascii="Trebuchet MS" w:eastAsia="Times New Roman" w:hAnsi="Trebuchet MS" w:cs="Times New Roman"/>
          <w:sz w:val="21"/>
          <w:szCs w:val="21"/>
          <w:lang w:val="en" w:eastAsia="en-IE" w:bidi="ne-NP"/>
        </w:rPr>
        <w:t xml:space="preserve"> accounts lodged with the Companies Registration Office. Contact DFI for more information on this research.</w:t>
      </w:r>
    </w:p>
    <w:p w:rsidR="00E15361" w:rsidRDefault="00E15361" w:rsidP="00E15361">
      <w:pPr>
        <w:spacing w:before="150" w:after="150" w:line="360" w:lineRule="auto"/>
        <w:ind w:left="150" w:right="150"/>
        <w:rPr>
          <w:rFonts w:ascii="Trebuchet MS" w:eastAsia="Times New Roman" w:hAnsi="Trebuchet MS" w:cs="Times New Roman"/>
          <w:sz w:val="21"/>
          <w:szCs w:val="21"/>
          <w:lang w:val="en" w:eastAsia="en-IE" w:bidi="ne-NP"/>
        </w:rPr>
      </w:pPr>
    </w:p>
    <w:p w:rsidR="00E15361" w:rsidRPr="00E15361" w:rsidRDefault="00E15361" w:rsidP="00E15361">
      <w:pPr>
        <w:spacing w:before="150" w:after="150" w:line="360" w:lineRule="auto"/>
        <w:ind w:left="150" w:right="150"/>
        <w:rPr>
          <w:rFonts w:ascii="Trebuchet MS" w:eastAsia="Times New Roman" w:hAnsi="Trebuchet MS" w:cs="Times New Roman"/>
          <w:sz w:val="21"/>
          <w:szCs w:val="21"/>
          <w:lang w:val="en" w:eastAsia="en-IE" w:bidi="ne-NP"/>
        </w:rPr>
      </w:pPr>
      <w:r>
        <w:rPr>
          <w:rFonts w:ascii="Trebuchet MS" w:eastAsia="Times New Roman" w:hAnsi="Trebuchet MS" w:cs="Times New Roman"/>
          <w:sz w:val="21"/>
          <w:szCs w:val="21"/>
          <w:lang w:val="en" w:eastAsia="en-IE" w:bidi="ne-NP"/>
        </w:rPr>
        <w:t>End</w:t>
      </w:r>
      <w:bookmarkStart w:id="4" w:name="_GoBack"/>
      <w:bookmarkEnd w:id="4"/>
    </w:p>
    <w:p w:rsidR="00AA78C0" w:rsidRPr="003807DC" w:rsidRDefault="00AA78C0">
      <w:pPr>
        <w:rPr>
          <w:rFonts w:ascii="Arial" w:hAnsi="Arial" w:cs="Arial"/>
          <w:sz w:val="24"/>
          <w:szCs w:val="24"/>
        </w:rPr>
      </w:pPr>
    </w:p>
    <w:sectPr w:rsidR="00AA78C0" w:rsidRPr="003807DC" w:rsidSect="00E15361">
      <w:headerReference w:type="default" r:id="rId9"/>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30A" w:rsidRDefault="003E730A" w:rsidP="003807DC">
      <w:pPr>
        <w:spacing w:after="0" w:line="240" w:lineRule="auto"/>
      </w:pPr>
      <w:r>
        <w:separator/>
      </w:r>
    </w:p>
  </w:endnote>
  <w:endnote w:type="continuationSeparator" w:id="0">
    <w:p w:rsidR="003E730A" w:rsidRDefault="003E730A" w:rsidP="00380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432574"/>
      <w:docPartObj>
        <w:docPartGallery w:val="Page Numbers (Bottom of Page)"/>
        <w:docPartUnique/>
      </w:docPartObj>
    </w:sdtPr>
    <w:sdtEndPr>
      <w:rPr>
        <w:noProof/>
      </w:rPr>
    </w:sdtEndPr>
    <w:sdtContent>
      <w:p w:rsidR="003807DC" w:rsidRDefault="00E15361" w:rsidP="00E15361">
        <w:pPr>
          <w:pStyle w:val="Footer"/>
          <w:tabs>
            <w:tab w:val="left" w:pos="8295"/>
          </w:tabs>
        </w:pP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30A" w:rsidRDefault="003E730A" w:rsidP="003807DC">
      <w:pPr>
        <w:spacing w:after="0" w:line="240" w:lineRule="auto"/>
      </w:pPr>
      <w:r>
        <w:separator/>
      </w:r>
    </w:p>
  </w:footnote>
  <w:footnote w:type="continuationSeparator" w:id="0">
    <w:p w:rsidR="003E730A" w:rsidRDefault="003E730A" w:rsidP="00380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7DC" w:rsidRDefault="00B619A3">
    <w:pPr>
      <w:pStyle w:val="Header"/>
    </w:pPr>
    <w:r>
      <w:fldChar w:fldCharType="begin"/>
    </w:r>
    <w:r>
      <w:instrText xml:space="preserve"> AUTHOR  \* Lower  \* MERGEFORMAT </w:instrText>
    </w:r>
    <w:r>
      <w:fldChar w:fldCharType="end"/>
    </w:r>
    <w:r w:rsidR="003807DC">
      <w:tab/>
    </w:r>
    <w:r w:rsidR="003807DC">
      <w:tab/>
    </w:r>
    <w:r w:rsidR="003807DC">
      <w:fldChar w:fldCharType="begin"/>
    </w:r>
    <w:r w:rsidR="003807DC">
      <w:instrText xml:space="preserve"> AUTHOR  \* Caps  \* MERGEFORMAT </w:instrText>
    </w:r>
    <w:r w:rsidR="003807DC">
      <w:fldChar w:fldCharType="end"/>
    </w:r>
    <w:r w:rsidR="003807DC">
      <w:fldChar w:fldCharType="begin"/>
    </w:r>
    <w:r w:rsidR="003807DC">
      <w:instrText xml:space="preserve"> AUTHOR  \* Caps  \* MERGEFORMAT </w:instrText>
    </w:r>
    <w:r w:rsidR="003807D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D7E9D"/>
    <w:multiLevelType w:val="multilevel"/>
    <w:tmpl w:val="227A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980050"/>
    <w:multiLevelType w:val="multilevel"/>
    <w:tmpl w:val="73FE7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FF533B"/>
    <w:multiLevelType w:val="multilevel"/>
    <w:tmpl w:val="96C4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564B9"/>
    <w:multiLevelType w:val="multilevel"/>
    <w:tmpl w:val="9C8C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766A8A"/>
    <w:multiLevelType w:val="multilevel"/>
    <w:tmpl w:val="E17A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935C1"/>
    <w:multiLevelType w:val="multilevel"/>
    <w:tmpl w:val="B3FC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BD2B58"/>
    <w:multiLevelType w:val="multilevel"/>
    <w:tmpl w:val="2FC2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E43ADF"/>
    <w:multiLevelType w:val="multilevel"/>
    <w:tmpl w:val="7992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EB5021"/>
    <w:multiLevelType w:val="multilevel"/>
    <w:tmpl w:val="85D4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A94424"/>
    <w:multiLevelType w:val="multilevel"/>
    <w:tmpl w:val="BF44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A05FE4"/>
    <w:multiLevelType w:val="multilevel"/>
    <w:tmpl w:val="164A5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D22581"/>
    <w:multiLevelType w:val="multilevel"/>
    <w:tmpl w:val="E0E2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2"/>
  </w:num>
  <w:num w:numId="4">
    <w:abstractNumId w:val="5"/>
  </w:num>
  <w:num w:numId="5">
    <w:abstractNumId w:val="8"/>
  </w:num>
  <w:num w:numId="6">
    <w:abstractNumId w:val="1"/>
  </w:num>
  <w:num w:numId="7">
    <w:abstractNumId w:val="9"/>
  </w:num>
  <w:num w:numId="8">
    <w:abstractNumId w:val="11"/>
  </w:num>
  <w:num w:numId="9">
    <w:abstractNumId w:val="6"/>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0A"/>
    <w:rsid w:val="00293BFA"/>
    <w:rsid w:val="003807DC"/>
    <w:rsid w:val="003E730A"/>
    <w:rsid w:val="00440D78"/>
    <w:rsid w:val="009B700B"/>
    <w:rsid w:val="00AA78C0"/>
    <w:rsid w:val="00B619A3"/>
    <w:rsid w:val="00B723F9"/>
    <w:rsid w:val="00BE30B9"/>
    <w:rsid w:val="00D03463"/>
    <w:rsid w:val="00E15361"/>
  </w:rsids>
  <m:mathPr>
    <m:mathFont m:val="Cambria Math"/>
    <m:brkBin m:val="before"/>
    <m:brkBinSub m:val="--"/>
    <m:smallFrac m:val="0"/>
    <m:dispDef/>
    <m:lMargin m:val="0"/>
    <m:rMargin m:val="0"/>
    <m:defJc m:val="centerGroup"/>
    <m:wrapIndent m:val="1440"/>
    <m:intLim m:val="subSup"/>
    <m:naryLim m:val="undOvr"/>
  </m:mathPr>
  <w:themeFontLang w:val="en-I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7DC"/>
  </w:style>
  <w:style w:type="paragraph" w:styleId="Footer">
    <w:name w:val="footer"/>
    <w:basedOn w:val="Normal"/>
    <w:link w:val="FooterChar"/>
    <w:uiPriority w:val="99"/>
    <w:unhideWhenUsed/>
    <w:rsid w:val="00380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7DC"/>
  </w:style>
  <w:style w:type="character" w:styleId="Strong">
    <w:name w:val="Strong"/>
    <w:basedOn w:val="DefaultParagraphFont"/>
    <w:uiPriority w:val="22"/>
    <w:qFormat/>
    <w:rsid w:val="00E153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7DC"/>
  </w:style>
  <w:style w:type="paragraph" w:styleId="Footer">
    <w:name w:val="footer"/>
    <w:basedOn w:val="Normal"/>
    <w:link w:val="FooterChar"/>
    <w:uiPriority w:val="99"/>
    <w:unhideWhenUsed/>
    <w:rsid w:val="00380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7DC"/>
  </w:style>
  <w:style w:type="character" w:styleId="Strong">
    <w:name w:val="Strong"/>
    <w:basedOn w:val="DefaultParagraphFont"/>
    <w:uiPriority w:val="22"/>
    <w:qFormat/>
    <w:rsid w:val="00E153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69325">
      <w:bodyDiv w:val="1"/>
      <w:marLeft w:val="0"/>
      <w:marRight w:val="0"/>
      <w:marTop w:val="0"/>
      <w:marBottom w:val="0"/>
      <w:divBdr>
        <w:top w:val="none" w:sz="0" w:space="0" w:color="auto"/>
        <w:left w:val="none" w:sz="0" w:space="0" w:color="auto"/>
        <w:bottom w:val="none" w:sz="0" w:space="0" w:color="auto"/>
        <w:right w:val="none" w:sz="0" w:space="0" w:color="auto"/>
      </w:divBdr>
      <w:divsChild>
        <w:div w:id="1433084584">
          <w:marLeft w:val="0"/>
          <w:marRight w:val="0"/>
          <w:marTop w:val="0"/>
          <w:marBottom w:val="0"/>
          <w:divBdr>
            <w:top w:val="none" w:sz="0" w:space="0" w:color="auto"/>
            <w:left w:val="none" w:sz="0" w:space="0" w:color="auto"/>
            <w:bottom w:val="none" w:sz="0" w:space="0" w:color="auto"/>
            <w:right w:val="none" w:sz="0" w:space="0" w:color="auto"/>
          </w:divBdr>
          <w:divsChild>
            <w:div w:id="2039697853">
              <w:marLeft w:val="0"/>
              <w:marRight w:val="0"/>
              <w:marTop w:val="0"/>
              <w:marBottom w:val="0"/>
              <w:divBdr>
                <w:top w:val="none" w:sz="0" w:space="0" w:color="auto"/>
                <w:left w:val="none" w:sz="0" w:space="0" w:color="auto"/>
                <w:bottom w:val="none" w:sz="0" w:space="0" w:color="auto"/>
                <w:right w:val="none" w:sz="0" w:space="0" w:color="auto"/>
              </w:divBdr>
              <w:divsChild>
                <w:div w:id="1597207333">
                  <w:marLeft w:val="0"/>
                  <w:marRight w:val="0"/>
                  <w:marTop w:val="0"/>
                  <w:marBottom w:val="0"/>
                  <w:divBdr>
                    <w:top w:val="none" w:sz="0" w:space="0" w:color="auto"/>
                    <w:left w:val="none" w:sz="0" w:space="0" w:color="auto"/>
                    <w:bottom w:val="none" w:sz="0" w:space="0" w:color="auto"/>
                    <w:right w:val="none" w:sz="0" w:space="0" w:color="auto"/>
                  </w:divBdr>
                  <w:divsChild>
                    <w:div w:id="497574274">
                      <w:marLeft w:val="0"/>
                      <w:marRight w:val="0"/>
                      <w:marTop w:val="150"/>
                      <w:marBottom w:val="150"/>
                      <w:divBdr>
                        <w:top w:val="none" w:sz="0" w:space="0" w:color="auto"/>
                        <w:left w:val="none" w:sz="0" w:space="0" w:color="auto"/>
                        <w:bottom w:val="none" w:sz="0" w:space="0" w:color="auto"/>
                        <w:right w:val="none" w:sz="0" w:space="0" w:color="auto"/>
                      </w:divBdr>
                      <w:divsChild>
                        <w:div w:id="1168866500">
                          <w:marLeft w:val="0"/>
                          <w:marRight w:val="0"/>
                          <w:marTop w:val="75"/>
                          <w:marBottom w:val="0"/>
                          <w:divBdr>
                            <w:top w:val="none" w:sz="0" w:space="0" w:color="auto"/>
                            <w:left w:val="single" w:sz="6" w:space="0" w:color="3E5873"/>
                            <w:bottom w:val="single" w:sz="6" w:space="0" w:color="3E5873"/>
                            <w:right w:val="single" w:sz="6" w:space="0" w:color="3E5873"/>
                          </w:divBdr>
                          <w:divsChild>
                            <w:div w:id="85923036">
                              <w:marLeft w:val="0"/>
                              <w:marRight w:val="0"/>
                              <w:marTop w:val="0"/>
                              <w:marBottom w:val="0"/>
                              <w:divBdr>
                                <w:top w:val="none" w:sz="0" w:space="0" w:color="auto"/>
                                <w:left w:val="none" w:sz="0" w:space="0" w:color="auto"/>
                                <w:bottom w:val="none" w:sz="0" w:space="0" w:color="auto"/>
                                <w:right w:val="none" w:sz="0" w:space="0" w:color="auto"/>
                              </w:divBdr>
                              <w:divsChild>
                                <w:div w:id="536310040">
                                  <w:marLeft w:val="0"/>
                                  <w:marRight w:val="0"/>
                                  <w:marTop w:val="0"/>
                                  <w:marBottom w:val="0"/>
                                  <w:divBdr>
                                    <w:top w:val="none" w:sz="0" w:space="0" w:color="auto"/>
                                    <w:left w:val="none" w:sz="0" w:space="0" w:color="auto"/>
                                    <w:bottom w:val="none" w:sz="0" w:space="0" w:color="auto"/>
                                    <w:right w:val="none" w:sz="0" w:space="0" w:color="auto"/>
                                  </w:divBdr>
                                </w:div>
                                <w:div w:id="1259630897">
                                  <w:marLeft w:val="0"/>
                                  <w:marRight w:val="0"/>
                                  <w:marTop w:val="0"/>
                                  <w:marBottom w:val="0"/>
                                  <w:divBdr>
                                    <w:top w:val="none" w:sz="0" w:space="0" w:color="auto"/>
                                    <w:left w:val="none" w:sz="0" w:space="0" w:color="auto"/>
                                    <w:bottom w:val="none" w:sz="0" w:space="0" w:color="auto"/>
                                    <w:right w:val="none" w:sz="0" w:space="0" w:color="auto"/>
                                  </w:divBdr>
                                </w:div>
                              </w:divsChild>
                            </w:div>
                            <w:div w:id="1306814651">
                              <w:marLeft w:val="0"/>
                              <w:marRight w:val="0"/>
                              <w:marTop w:val="0"/>
                              <w:marBottom w:val="0"/>
                              <w:divBdr>
                                <w:top w:val="none" w:sz="0" w:space="0" w:color="auto"/>
                                <w:left w:val="none" w:sz="0" w:space="0" w:color="auto"/>
                                <w:bottom w:val="none" w:sz="0" w:space="0" w:color="auto"/>
                                <w:right w:val="none" w:sz="0" w:space="0" w:color="auto"/>
                              </w:divBdr>
                            </w:div>
                            <w:div w:id="1548638523">
                              <w:marLeft w:val="0"/>
                              <w:marRight w:val="0"/>
                              <w:marTop w:val="0"/>
                              <w:marBottom w:val="0"/>
                              <w:divBdr>
                                <w:top w:val="none" w:sz="0" w:space="0" w:color="auto"/>
                                <w:left w:val="none" w:sz="0" w:space="0" w:color="auto"/>
                                <w:bottom w:val="none" w:sz="0" w:space="0" w:color="auto"/>
                                <w:right w:val="none" w:sz="0" w:space="0" w:color="auto"/>
                              </w:divBdr>
                            </w:div>
                            <w:div w:id="1010789496">
                              <w:marLeft w:val="0"/>
                              <w:marRight w:val="0"/>
                              <w:marTop w:val="0"/>
                              <w:marBottom w:val="0"/>
                              <w:divBdr>
                                <w:top w:val="none" w:sz="0" w:space="0" w:color="auto"/>
                                <w:left w:val="none" w:sz="0" w:space="0" w:color="auto"/>
                                <w:bottom w:val="none" w:sz="0" w:space="0" w:color="auto"/>
                                <w:right w:val="none" w:sz="0" w:space="0" w:color="auto"/>
                              </w:divBdr>
                            </w:div>
                            <w:div w:id="1990087343">
                              <w:marLeft w:val="0"/>
                              <w:marRight w:val="0"/>
                              <w:marTop w:val="0"/>
                              <w:marBottom w:val="0"/>
                              <w:divBdr>
                                <w:top w:val="none" w:sz="0" w:space="0" w:color="auto"/>
                                <w:left w:val="none" w:sz="0" w:space="0" w:color="auto"/>
                                <w:bottom w:val="none" w:sz="0" w:space="0" w:color="auto"/>
                                <w:right w:val="none" w:sz="0" w:space="0" w:color="auto"/>
                              </w:divBdr>
                            </w:div>
                            <w:div w:id="2124028863">
                              <w:marLeft w:val="0"/>
                              <w:marRight w:val="0"/>
                              <w:marTop w:val="0"/>
                              <w:marBottom w:val="0"/>
                              <w:divBdr>
                                <w:top w:val="none" w:sz="0" w:space="0" w:color="auto"/>
                                <w:left w:val="none" w:sz="0" w:space="0" w:color="auto"/>
                                <w:bottom w:val="none" w:sz="0" w:space="0" w:color="auto"/>
                                <w:right w:val="none" w:sz="0" w:space="0" w:color="auto"/>
                              </w:divBdr>
                            </w:div>
                            <w:div w:id="358819595">
                              <w:marLeft w:val="0"/>
                              <w:marRight w:val="0"/>
                              <w:marTop w:val="0"/>
                              <w:marBottom w:val="0"/>
                              <w:divBdr>
                                <w:top w:val="none" w:sz="0" w:space="0" w:color="auto"/>
                                <w:left w:val="none" w:sz="0" w:space="0" w:color="auto"/>
                                <w:bottom w:val="none" w:sz="0" w:space="0" w:color="auto"/>
                                <w:right w:val="none" w:sz="0" w:space="0" w:color="auto"/>
                              </w:divBdr>
                            </w:div>
                            <w:div w:id="1168057901">
                              <w:marLeft w:val="0"/>
                              <w:marRight w:val="0"/>
                              <w:marTop w:val="0"/>
                              <w:marBottom w:val="0"/>
                              <w:divBdr>
                                <w:top w:val="none" w:sz="0" w:space="0" w:color="auto"/>
                                <w:left w:val="none" w:sz="0" w:space="0" w:color="auto"/>
                                <w:bottom w:val="none" w:sz="0" w:space="0" w:color="auto"/>
                                <w:right w:val="none" w:sz="0" w:space="0" w:color="auto"/>
                              </w:divBdr>
                            </w:div>
                            <w:div w:id="692263390">
                              <w:marLeft w:val="0"/>
                              <w:marRight w:val="0"/>
                              <w:marTop w:val="0"/>
                              <w:marBottom w:val="0"/>
                              <w:divBdr>
                                <w:top w:val="none" w:sz="0" w:space="0" w:color="auto"/>
                                <w:left w:val="none" w:sz="0" w:space="0" w:color="auto"/>
                                <w:bottom w:val="none" w:sz="0" w:space="0" w:color="auto"/>
                                <w:right w:val="none" w:sz="0" w:space="0" w:color="auto"/>
                              </w:divBdr>
                            </w:div>
                            <w:div w:id="2041008991">
                              <w:marLeft w:val="0"/>
                              <w:marRight w:val="0"/>
                              <w:marTop w:val="0"/>
                              <w:marBottom w:val="0"/>
                              <w:divBdr>
                                <w:top w:val="none" w:sz="0" w:space="0" w:color="auto"/>
                                <w:left w:val="none" w:sz="0" w:space="0" w:color="auto"/>
                                <w:bottom w:val="none" w:sz="0" w:space="0" w:color="auto"/>
                                <w:right w:val="none" w:sz="0" w:space="0" w:color="auto"/>
                              </w:divBdr>
                            </w:div>
                            <w:div w:id="17610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o.i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1800</Words>
  <Characters>10263</Characters>
  <Application>Microsoft Office Word</Application>
  <DocSecurity>0</DocSecurity>
  <Lines>85</Lines>
  <Paragraphs>24</Paragraphs>
  <ScaleCrop>false</ScaleCrop>
  <Company/>
  <LinksUpToDate>false</LinksUpToDate>
  <CharactersWithSpaces>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Cadogan</dc:creator>
  <cp:keywords/>
  <dc:description/>
  <cp:lastModifiedBy>Denis Cadogan</cp:lastModifiedBy>
  <cp:revision>2</cp:revision>
  <dcterms:created xsi:type="dcterms:W3CDTF">2013-07-09T10:36:00Z</dcterms:created>
  <dcterms:modified xsi:type="dcterms:W3CDTF">2013-07-09T10:38:00Z</dcterms:modified>
</cp:coreProperties>
</file>